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40"/>
        <w:pBdr>
          <w:bottom w:val="single" w:sz="18" w:space="10" w:color="00A85A"/>
        </w:pBdr>
      </w:pPr>
      <w:r>
        <w:drawing>
          <wp:inline xmlns:a="http://schemas.openxmlformats.org/drawingml/2006/main" xmlns:pic="http://schemas.openxmlformats.org/drawingml/2006/picture">
            <wp:extent cx="1562100" cy="304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orrektur-wortmarke-vorlagen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30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MERKZETTEL ZUM FREIEN GEBRAUCH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Artikel der, die, das auf einer Seite</w:t>
      </w:r>
    </w:p>
    <w:p>
      <w:pPr>
        <w:spacing w:before="0" w:after="16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Auf der nächsten Seite stehen Regeln und Endungen, mit denen sich das Genus vieler Nomen erschließen lässt, dazu der bestimmte und der unbestimmte Artikel in allen vier Fällen.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So nutzt du den Merkzettel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1.  </w:t>
      </w:r>
      <w:r>
        <w:rPr>
          <w:rFonts w:ascii="Arial" w:hAnsi="Arial"/>
          <w:sz w:val="22"/>
        </w:rPr>
        <w:t>Drucke nur die Seiten ab Seite 2. Diese Anleitungsseite brauchst du nicht an der Wand.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2.  </w:t>
      </w:r>
      <w:r>
        <w:rPr>
          <w:rFonts w:ascii="Arial" w:hAnsi="Arial"/>
          <w:sz w:val="22"/>
        </w:rPr>
        <w:t>Häng den Zettel dorthin, wo du schreibst, oder leg ihn vorn in die Mappe. Ein Merkzettel wirkt nur, wenn er im Blick ist.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3.  </w:t>
      </w:r>
      <w:r>
        <w:rPr>
          <w:rFonts w:ascii="Arial" w:hAnsi="Arial"/>
          <w:sz w:val="22"/>
        </w:rPr>
        <w:t>Lies beim Überarbeiten einmal nur nach diesem Zettel durch den Text. Eine Regel pro Durchgang findet mehr als alle auf einmal.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4.  </w:t>
      </w:r>
      <w:r>
        <w:rPr>
          <w:rFonts w:ascii="Arial" w:hAnsi="Arial"/>
          <w:sz w:val="22"/>
        </w:rPr>
        <w:t>Die Word-Datei darfst du kürzen und ergänzen: streich, was du sicher kannst, und trag deine eigenen Stolperstellen ein.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Wofür der Zettel gedacht ist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Hausarbeiten, Deutsch als Fremdsprache: überall dort, wo der Artikel eines Nomens unsicher ist.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Der letzte Korrekturgang: einmal gezielt Nomen ohne gesicherten Artikel nachschlagen.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Schülerinnen, Schüler und alle, die Deutsch als Fremdsprache lernen.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Was uns in der Korrektur dazu am häufigsten begegnet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Endungen wie -ung oder -heit werden dem falschen Genus zugeordnet, obwohl die Endung das Genus fast immer festlegt.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Der Artikel wird nach dem Genus der Übersetzung aus einer anderen Sprache gebildet, statt nach der deutschen Regel.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Der unbestimmte Artikel bleibt im Plural stehen, obwohl er dort keine Form hat.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20" w:after="60"/>
            </w:pPr>
            <w:r>
              <w:rPr>
                <w:rFonts w:ascii="Arial" w:hAnsi="Arial"/>
                <w:b/>
                <w:color w:val="111111"/>
                <w:sz w:val="22"/>
              </w:rPr>
              <w:t>Wenn es darauf ankommt</w:t>
            </w:r>
          </w:p>
          <w:p>
            <w:pPr>
              <w:spacing w:after="120"/>
            </w:pPr>
            <w:r>
              <w:rPr>
                <w:rFonts w:ascii="Arial" w:hAnsi="Arial"/>
                <w:sz w:val="20"/>
              </w:rPr>
              <w:t xml:space="preserve">Ein falscher Artikel fällt in jedem Satz auf, in dem das Nomen steht. Wir lesen Zeichensetzung, Rechtschreibung, Grammatik und Ausdruck gegen: </w:t>
            </w:r>
            <w:hyperlink r:id="rId11">
              <w:r>
                <w:rPr>
                  <w:rFonts w:ascii="Arial" w:hAnsi="Arial"/>
                  <w:color w:val="006B46"/>
                  <w:b/>
                  <w:u w:val="single"/>
                </w:rPr>
                <w:t>korrektur.de</w:t>
              </w:r>
            </w:hyperlink>
          </w:p>
        </w:tc>
      </w:tr>
    </w:tbl>
    <w:p>
      <w:pPr>
        <w:spacing w:before="4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Diesen Merkzettel darfst du frei nutzen, anpassen und weitergeben. Erstellt von korrektur.de. Stand: September 2026.</w:t>
      </w:r>
    </w:p>
    <w:p>
      <w:pPr>
        <w:sectPr>
          <w:footerReference w:type="default" r:id="rId9"/>
          <w:pgSz w:w="11906" w:h="16838"/>
          <w:pgMar w:top="1020" w:right="1134" w:bottom="1020" w:left="1134" w:header="720" w:footer="720" w:gutter="0"/>
          <w:cols w:space="720"/>
          <w:docGrid w:linePitch="360"/>
          <w:pgNumType w:fmt="decimal" w:start="1"/>
        </w:sectPr>
      </w:pP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MERKZETTEL GRAMMATIK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Artikel der, die, das auf einer Seite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00" w:after="100"/>
            </w:pPr>
            <w:r>
              <w:rPr>
                <w:rFonts w:ascii="Arial" w:hAnsi="Arial"/>
                <w:b/>
                <w:color w:val="006B46"/>
                <w:sz w:val="22"/>
              </w:rPr>
              <w:t>Das Genus eines Nomens lässt sich oft an seiner Endung erkennen. Wo keine Regel greift, hilft nur Nachschlagen: das Genus gehört zum Wort und wird mitgelernt.</w:t>
            </w:r>
          </w:p>
        </w:tc>
      </w:tr>
    </w:tbl>
    <w:p>
      <w:pPr>
        <w:spacing w:before="0" w:after="140" w:line="20" w:lineRule="exact"/>
      </w:pP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Endungen und ihr Genus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</w:tblPr>
      <w:tblGrid>
        <w:gridCol w:w="1928"/>
        <w:gridCol w:w="1542"/>
        <w:gridCol w:w="3084"/>
        <w:gridCol w:w="3084"/>
      </w:tblGrid>
      <w:tr>
        <w:tc>
          <w:tcPr>
            <w:tcW w:type="dxa" w:w="1928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6"/>
              </w:rPr>
              <w:t>Endung</w:t>
            </w:r>
          </w:p>
        </w:tc>
        <w:tc>
          <w:tcPr>
            <w:tcW w:type="dxa" w:w="1542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6"/>
              </w:rPr>
              <w:t>Genus</w:t>
            </w:r>
          </w:p>
        </w:tc>
        <w:tc>
          <w:tcPr>
            <w:tcW w:type="dxa" w:w="3084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6"/>
              </w:rPr>
              <w:t>Beispiele</w:t>
            </w:r>
          </w:p>
        </w:tc>
        <w:tc>
          <w:tcPr>
            <w:tcW w:type="dxa" w:w="3084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6"/>
              </w:rPr>
              <w:t>Ausnahmen</w:t>
            </w:r>
          </w:p>
        </w:tc>
      </w:tr>
      <w:tr>
        <w:tc>
          <w:tcPr>
            <w:tcW w:type="dxa" w:w="192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6"/>
              </w:rPr>
              <w:t>-ung, -heit, -keit, -schaft, -ion, -tät</w:t>
            </w:r>
          </w:p>
        </w:tc>
        <w:tc>
          <w:tcPr>
            <w:tcW w:type="dxa" w:w="15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feminin</w:t>
            </w:r>
          </w:p>
        </w:tc>
        <w:tc>
          <w:tcPr>
            <w:tcW w:type="dxa" w:w="308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die Zeitung, die Freiheit, die Nation</w:t>
            </w:r>
          </w:p>
        </w:tc>
        <w:tc>
          <w:tcPr>
            <w:tcW w:type="dxa" w:w="308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kaum Ausnahmen</w:t>
            </w:r>
          </w:p>
        </w:tc>
      </w:tr>
      <w:tr>
        <w:tc>
          <w:tcPr>
            <w:tcW w:type="dxa" w:w="192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6"/>
              </w:rPr>
              <w:t>-e (bei vielen zweisilbigen Nomen)</w:t>
            </w:r>
          </w:p>
        </w:tc>
        <w:tc>
          <w:tcPr>
            <w:tcW w:type="dxa" w:w="15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feminin</w:t>
            </w:r>
          </w:p>
        </w:tc>
        <w:tc>
          <w:tcPr>
            <w:tcW w:type="dxa" w:w="308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die Lampe, die Blume, die Straße</w:t>
            </w:r>
          </w:p>
        </w:tc>
        <w:tc>
          <w:tcPr>
            <w:tcW w:type="dxa" w:w="308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der Junge, der Name, das Ende</w:t>
            </w:r>
          </w:p>
        </w:tc>
      </w:tr>
      <w:tr>
        <w:tc>
          <w:tcPr>
            <w:tcW w:type="dxa" w:w="192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6"/>
              </w:rPr>
              <w:t>-er (bei Personen und Geräten)</w:t>
            </w:r>
          </w:p>
        </w:tc>
        <w:tc>
          <w:tcPr>
            <w:tcW w:type="dxa" w:w="15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maskulin</w:t>
            </w:r>
          </w:p>
        </w:tc>
        <w:tc>
          <w:tcPr>
            <w:tcW w:type="dxa" w:w="308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der Lehrer, der Computer, der Fahrer</w:t>
            </w:r>
          </w:p>
        </w:tc>
        <w:tc>
          <w:tcPr>
            <w:tcW w:type="dxa" w:w="308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die Mutter, die Butter, das Fenster</w:t>
            </w:r>
          </w:p>
        </w:tc>
      </w:tr>
      <w:tr>
        <w:tc>
          <w:tcPr>
            <w:tcW w:type="dxa" w:w="192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6"/>
              </w:rPr>
              <w:t>-chen, -lein</w:t>
            </w:r>
          </w:p>
        </w:tc>
        <w:tc>
          <w:tcPr>
            <w:tcW w:type="dxa" w:w="15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neutrum</w:t>
            </w:r>
          </w:p>
        </w:tc>
        <w:tc>
          <w:tcPr>
            <w:tcW w:type="dxa" w:w="308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das Mädchen, das Fräulein</w:t>
            </w:r>
          </w:p>
        </w:tc>
        <w:tc>
          <w:tcPr>
            <w:tcW w:type="dxa" w:w="308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keine, auch bei femininem Bezugswort</w:t>
            </w:r>
          </w:p>
        </w:tc>
      </w:tr>
      <w:tr>
        <w:tc>
          <w:tcPr>
            <w:tcW w:type="dxa" w:w="192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6"/>
              </w:rPr>
              <w:t>-um, -ment, -tum</w:t>
            </w:r>
          </w:p>
        </w:tc>
        <w:tc>
          <w:tcPr>
            <w:tcW w:type="dxa" w:w="15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neutrum</w:t>
            </w:r>
          </w:p>
        </w:tc>
        <w:tc>
          <w:tcPr>
            <w:tcW w:type="dxa" w:w="308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das Museum, das Dokument, das Eigentum</w:t>
            </w:r>
          </w:p>
        </w:tc>
        <w:tc>
          <w:tcPr>
            <w:tcW w:type="dxa" w:w="308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der Irrtum, der Reichtum</w:t>
            </w:r>
          </w:p>
        </w:tc>
      </w:tr>
      <w:tr>
        <w:tc>
          <w:tcPr>
            <w:tcW w:type="dxa" w:w="192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6"/>
              </w:rPr>
              <w:t>-ismus, -ist, -ling</w:t>
            </w:r>
          </w:p>
        </w:tc>
        <w:tc>
          <w:tcPr>
            <w:tcW w:type="dxa" w:w="15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maskulin</w:t>
            </w:r>
          </w:p>
        </w:tc>
        <w:tc>
          <w:tcPr>
            <w:tcW w:type="dxa" w:w="308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der Realismus, der Journalist, der Frühling</w:t>
            </w:r>
          </w:p>
        </w:tc>
        <w:tc>
          <w:tcPr>
            <w:tcW w:type="dxa" w:w="308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kaum Ausnahmen</w:t>
            </w:r>
          </w:p>
        </w:tc>
      </w:tr>
    </w:tbl>
    <w:p>
      <w:pPr>
        <w:spacing w:before="0" w:after="120" w:line="276" w:lineRule="auto"/>
      </w:pP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Bestimmter und unbestimmter Artikel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</w:tblPr>
      <w:tblGrid>
        <w:gridCol w:w="1928"/>
        <w:gridCol w:w="1542"/>
        <w:gridCol w:w="1542"/>
        <w:gridCol w:w="1542"/>
        <w:gridCol w:w="1542"/>
        <w:gridCol w:w="1542"/>
      </w:tblGrid>
      <w:tr>
        <w:tc>
          <w:tcPr>
            <w:tcW w:type="dxa" w:w="1928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7"/>
              </w:rPr>
              <w:t>Kasus</w:t>
            </w:r>
          </w:p>
        </w:tc>
        <w:tc>
          <w:tcPr>
            <w:tcW w:type="dxa" w:w="1542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7"/>
              </w:rPr>
              <w:t>der</w:t>
            </w:r>
          </w:p>
        </w:tc>
        <w:tc>
          <w:tcPr>
            <w:tcW w:type="dxa" w:w="1542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7"/>
              </w:rPr>
              <w:t>die</w:t>
            </w:r>
          </w:p>
        </w:tc>
        <w:tc>
          <w:tcPr>
            <w:tcW w:type="dxa" w:w="1542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7"/>
              </w:rPr>
              <w:t>das</w:t>
            </w:r>
          </w:p>
        </w:tc>
        <w:tc>
          <w:tcPr>
            <w:tcW w:type="dxa" w:w="1542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7"/>
              </w:rPr>
              <w:t>ein</w:t>
            </w:r>
          </w:p>
        </w:tc>
        <w:tc>
          <w:tcPr>
            <w:tcW w:type="dxa" w:w="1542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7"/>
              </w:rPr>
              <w:t>eine</w:t>
            </w:r>
          </w:p>
        </w:tc>
      </w:tr>
      <w:tr>
        <w:tc>
          <w:tcPr>
            <w:tcW w:type="dxa" w:w="192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Nominativ</w:t>
            </w:r>
          </w:p>
        </w:tc>
        <w:tc>
          <w:tcPr>
            <w:tcW w:type="dxa" w:w="15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der</w:t>
            </w:r>
          </w:p>
        </w:tc>
        <w:tc>
          <w:tcPr>
            <w:tcW w:type="dxa" w:w="15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die</w:t>
            </w:r>
          </w:p>
        </w:tc>
        <w:tc>
          <w:tcPr>
            <w:tcW w:type="dxa" w:w="15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das</w:t>
            </w:r>
          </w:p>
        </w:tc>
        <w:tc>
          <w:tcPr>
            <w:tcW w:type="dxa" w:w="15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ein</w:t>
            </w:r>
          </w:p>
        </w:tc>
        <w:tc>
          <w:tcPr>
            <w:tcW w:type="dxa" w:w="15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eine</w:t>
            </w:r>
          </w:p>
        </w:tc>
      </w:tr>
      <w:tr>
        <w:tc>
          <w:tcPr>
            <w:tcW w:type="dxa" w:w="192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Genitiv</w:t>
            </w:r>
          </w:p>
        </w:tc>
        <w:tc>
          <w:tcPr>
            <w:tcW w:type="dxa" w:w="15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des</w:t>
            </w:r>
          </w:p>
        </w:tc>
        <w:tc>
          <w:tcPr>
            <w:tcW w:type="dxa" w:w="15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der</w:t>
            </w:r>
          </w:p>
        </w:tc>
        <w:tc>
          <w:tcPr>
            <w:tcW w:type="dxa" w:w="15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des</w:t>
            </w:r>
          </w:p>
        </w:tc>
        <w:tc>
          <w:tcPr>
            <w:tcW w:type="dxa" w:w="15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eines</w:t>
            </w:r>
          </w:p>
        </w:tc>
        <w:tc>
          <w:tcPr>
            <w:tcW w:type="dxa" w:w="15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einer</w:t>
            </w:r>
          </w:p>
        </w:tc>
      </w:tr>
      <w:tr>
        <w:tc>
          <w:tcPr>
            <w:tcW w:type="dxa" w:w="192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Dativ</w:t>
            </w:r>
          </w:p>
        </w:tc>
        <w:tc>
          <w:tcPr>
            <w:tcW w:type="dxa" w:w="15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dem</w:t>
            </w:r>
          </w:p>
        </w:tc>
        <w:tc>
          <w:tcPr>
            <w:tcW w:type="dxa" w:w="15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der</w:t>
            </w:r>
          </w:p>
        </w:tc>
        <w:tc>
          <w:tcPr>
            <w:tcW w:type="dxa" w:w="15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dem</w:t>
            </w:r>
          </w:p>
        </w:tc>
        <w:tc>
          <w:tcPr>
            <w:tcW w:type="dxa" w:w="15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einem</w:t>
            </w:r>
          </w:p>
        </w:tc>
        <w:tc>
          <w:tcPr>
            <w:tcW w:type="dxa" w:w="15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einer</w:t>
            </w:r>
          </w:p>
        </w:tc>
      </w:tr>
      <w:tr>
        <w:tc>
          <w:tcPr>
            <w:tcW w:type="dxa" w:w="192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Akkusativ</w:t>
            </w:r>
          </w:p>
        </w:tc>
        <w:tc>
          <w:tcPr>
            <w:tcW w:type="dxa" w:w="15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den</w:t>
            </w:r>
          </w:p>
        </w:tc>
        <w:tc>
          <w:tcPr>
            <w:tcW w:type="dxa" w:w="15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die</w:t>
            </w:r>
          </w:p>
        </w:tc>
        <w:tc>
          <w:tcPr>
            <w:tcW w:type="dxa" w:w="15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das</w:t>
            </w:r>
          </w:p>
        </w:tc>
        <w:tc>
          <w:tcPr>
            <w:tcW w:type="dxa" w:w="15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einen</w:t>
            </w:r>
          </w:p>
        </w:tc>
        <w:tc>
          <w:tcPr>
            <w:tcW w:type="dxa" w:w="15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eine</w:t>
            </w:r>
          </w:p>
        </w:tc>
      </w:tr>
    </w:tbl>
    <w:p>
      <w:pPr>
        <w:spacing w:before="0" w:after="120" w:line="276" w:lineRule="auto"/>
      </w:pP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Im Plural gibt es keinen unbestimmten Artikel: aus „ein Buch“ wird im Plural „Bücher“ ohne Artikel, nicht „eine Bücher“. Der bestimmte Artikel lautet im Plural in allen Genera „die“, außer im Dativ, wo er „den“ lautet.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Typische Fehler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Das Genus wird aus der Übersetzung übernommen: „la lune“ macht aus „der Mond“ fälschlich „die Mond“.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Der unbestimmte Artikel wird im Plural mitgeschleppt: „eine Bücher“ statt „Bücher“.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Endungen wie -e werden pauschal als feminin gelesen, obwohl „der Junge“ und „das Ende“ dazu Ausnahmen sind.</w:t>
      </w:r>
    </w:p>
    <w:p>
      <w:pPr>
        <w:spacing w:before="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Merkzettel von korrektur.de, frei nutzbar. Stand: September 2026.</w:t>
      </w:r>
    </w:p>
    <w:sectPr w:rsidR="00FC693F" w:rsidRPr="0006063C" w:rsidSect="00034616">
      <w:footerReference w:type="default" r:id="rId12"/>
      <w:pgSz w:w="11906" w:h="16838"/>
      <w:pgMar w:top="964" w:right="1134" w:bottom="850" w:left="1134" w:header="720" w:footer="720" w:gutter="0"/>
      <w:cols w:space="720"/>
      <w:docGrid w:linePitch="360"/>
      <w:pgNumType w:fmt="decimal"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Arial" w:hAnsi="Arial" w:cs="Arial" w:eastAsia="Arial"/>
      <w:color w:val="111111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="Arial" w:hAnsi="Arial" w:cs="Arial" w:eastAsia="Arial"/>
      <w:b/>
      <w:bCs/>
      <w:color w:val="111111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="Arial" w:hAnsi="Arial" w:cs="Arial" w:eastAsia="Arial"/>
      <w:b/>
      <w:bCs/>
      <w:color w:val="111111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="Arial" w:hAnsi="Arial" w:cs="Arial" w:eastAsia="Arial"/>
      <w:b/>
      <w:bCs/>
      <w:color w:val="11111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korrektur.de" TargetMode="Externa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Artikel der, die, das: Merkzettel mit Genus-Endungen</dc:title>
  <dc:subject>Merkzettel zum Ausdrucken, eine Seite</dc:subject>
  <dc:creator>korrektur.de</dc:creator>
  <cp:keywords>Artikel, der die das, Genus, bestimmter Artikel, unbestimmter Artikel, Merkzettel, Deutsch</cp:keywords>
  <dc:description>Kostenlose Vorlage von korrektur.de. Aktuelle Fassung: https://korrektur.de/artikel-der-die-das</dc:description>
  <cp:lastModifiedBy>korrektur.de</cp:lastModifiedBy>
  <cp:revision>1</cp:revision>
  <dcterms:created xsi:type="dcterms:W3CDTF">2013-12-23T23:15:00Z</dcterms:created>
  <dcterms:modified xsi:type="dcterms:W3CDTF">2013-12-23T23:15:00Z</dcterms:modified>
  <cp:category>Vorlage</cp:category>
</cp:coreProperties>
</file>