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50 Eselsbrücken auf einen Blick</w:t>
      </w:r>
    </w:p>
    <w:p>
      <w:pPr>
        <w:spacing w:before="0" w:after="160" w:line="276" w:lineRule="auto"/>
      </w:pPr>
      <w:r>
        <w:rPr>
          <w:rFonts w:ascii="Arial" w:hAnsi="Arial"/>
          <w:b w:val="0"/>
          <w:i w:val="0"/>
          <w:color w:val="111111"/>
          <w:sz w:val="22"/>
        </w:rPr>
        <w:t>Auf den nächsten Seiten stehen 50 Eselsbrücken, sortiert nach Rechtschreibung, Grammatik, Zeichensetzung und Wortverwechslungen. Eine Eselsbrücke merkt sich leichter als eine Regel, deshalb steht die Regel dahinter, und ein Beispiel daneben.</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Schule, Nachhilfe und Studium: überall, wo eine Regel sitzen muss, bevor sie gebraucht wird.</w:t>
      </w:r>
    </w:p>
    <w:p>
      <w:pPr>
        <w:spacing w:before="0" w:after="80" w:line="276" w:lineRule="auto"/>
        <w:ind w:left="340" w:hanging="340"/>
      </w:pPr>
      <w:r>
        <w:rPr>
          <w:color w:val="00A85A"/>
        </w:rPr>
        <w:t xml:space="preserve">▪  </w:t>
      </w:r>
      <w:r>
        <w:rPr>
          <w:rFonts w:ascii="Arial" w:hAnsi="Arial"/>
          <w:sz w:val="22"/>
        </w:rPr>
        <w:t>Alle, die beim Schreiben immer wieder an derselben Stelle zögern.</w:t>
      </w:r>
    </w:p>
    <w:p>
      <w:pPr>
        <w:spacing w:before="0" w:after="80" w:line="276" w:lineRule="auto"/>
        <w:ind w:left="340" w:hanging="340"/>
      </w:pPr>
      <w:r>
        <w:rPr>
          <w:color w:val="00A85A"/>
        </w:rPr>
        <w:t xml:space="preserve">▪  </w:t>
      </w:r>
      <w:r>
        <w:rPr>
          <w:rFonts w:ascii="Arial" w:hAnsi="Arial"/>
          <w:sz w:val="22"/>
        </w:rPr>
        <w:t>Zum Nachschlagen beim Überarbeiten, wenn ein Gefühl sagt: hier stimmt etwas nicht, aber welche Regel war das noch.</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Die alte Regel „Trenne nie st, denn es tut ihm weh“: sie stammt aus der Zeit vor der Rechtschreibreform, seit 1996 darf st getrennt werden.</w:t>
      </w:r>
    </w:p>
    <w:p>
      <w:pPr>
        <w:spacing w:before="0" w:after="80" w:line="276" w:lineRule="auto"/>
        <w:ind w:left="340" w:hanging="340"/>
      </w:pPr>
      <w:r>
        <w:rPr>
          <w:color w:val="00A85A"/>
        </w:rPr>
        <w:t xml:space="preserve">▪  </w:t>
      </w:r>
      <w:r>
        <w:rPr>
          <w:rFonts w:ascii="Arial" w:hAnsi="Arial"/>
          <w:sz w:val="22"/>
        </w:rPr>
        <w:t>Das/dass wird auch nach Jahren noch verwechselt, obwohl die Ersatzprobe mit „dieses“ in Sekunden entscheidet.</w:t>
      </w:r>
    </w:p>
    <w:p>
      <w:pPr>
        <w:spacing w:before="0" w:after="80" w:line="276" w:lineRule="auto"/>
        <w:ind w:left="340" w:hanging="340"/>
      </w:pPr>
      <w:r>
        <w:rPr>
          <w:color w:val="00A85A"/>
        </w:rPr>
        <w:t xml:space="preserve">▪  </w:t>
      </w:r>
      <w:r>
        <w:rPr>
          <w:rFonts w:ascii="Arial" w:hAnsi="Arial"/>
          <w:sz w:val="22"/>
        </w:rPr>
        <w:t>Seid/seit: einmal Verb, einmal Zeitangabe, im Text oft munter vertauscht.</w:t>
      </w:r>
    </w:p>
    <w:p>
      <w:pPr>
        <w:spacing w:before="0" w:after="80" w:line="276" w:lineRule="auto"/>
        <w:ind w:left="340" w:hanging="340"/>
      </w:pPr>
      <w:r>
        <w:rPr>
          <w:color w:val="00A85A"/>
        </w:rPr>
        <w:t xml:space="preserve">▪  </w:t>
      </w:r>
      <w:r>
        <w:rPr>
          <w:rFonts w:ascii="Arial" w:hAnsi="Arial"/>
          <w:sz w:val="22"/>
        </w:rPr>
        <w:t>Wieder/wider: „wieder“ heißt erneut, „wider“ heißt dagegen, und beides klingt beim Sprechen gleich.</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Eselsbrücke hilft beim Schreiben. Ob sie im fertigen Text auch gehalten hat, sehen wir beim Korrekturlesen und Lektorat von: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RECHTSCHREIBUNG UND GRAMMATIK</w:t>
      </w:r>
    </w:p>
    <w:p>
      <w:pPr>
        <w:spacing w:before="0" w:after="280" w:line="252" w:lineRule="auto"/>
      </w:pPr>
      <w:r>
        <w:rPr>
          <w:rFonts w:ascii="Arial" w:hAnsi="Arial"/>
          <w:b/>
          <w:i w:val="0"/>
          <w:color w:val="111111"/>
          <w:sz w:val="38"/>
        </w:rPr>
        <w:t>50 Eselsbrücken für Rechtschreibung und Grammatik</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Eine Eselsbrücke ersetzt keine Regel, sie öffnet nur die Tür zu ihr. Die Regel steht deshalb immer daneben.</w:t>
            </w:r>
          </w:p>
        </w:tc>
      </w:tr>
    </w:tbl>
    <w:p>
      <w:pPr>
        <w:spacing w:before="0" w:after="140" w:line="20" w:lineRule="exact"/>
      </w:pPr>
    </w:p>
    <w:p>
      <w:pPr>
        <w:spacing w:before="280" w:after="120" w:line="276" w:lineRule="auto"/>
      </w:pPr>
      <w:r>
        <w:rPr>
          <w:rFonts w:ascii="Arial" w:hAnsi="Arial"/>
          <w:b/>
          <w:i w:val="0"/>
          <w:color w:val="111111"/>
          <w:sz w:val="24"/>
        </w:rPr>
        <w:t>Rechtschreibung</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3213"/>
        <w:gridCol w:w="3213"/>
      </w:tblGrid>
      <w:tr>
        <w:tc>
          <w:tcPr>
            <w:tcW w:type="dxa" w:w="3213"/>
            <w:shd w:val="clear" w:color="auto" w:fill="F2F8F4"/>
            <w:tcMar>
              <w:left w:w="80" w:type="dxa"/>
              <w:right w:w="80" w:type="dxa"/>
            </w:tcMar>
          </w:tcPr>
          <w:p>
            <w:pPr>
              <w:spacing w:before="40" w:after="40" w:line="264" w:lineRule="auto"/>
            </w:pPr>
            <w:r>
              <w:rPr>
                <w:rFonts w:ascii="Arial" w:hAnsi="Arial"/>
                <w:b/>
                <w:color w:val="006B46"/>
                <w:sz w:val="17"/>
              </w:rPr>
              <w:t>Merksatz</w:t>
            </w:r>
          </w:p>
        </w:tc>
        <w:tc>
          <w:tcPr>
            <w:tcW w:type="dxa" w:w="3213"/>
            <w:shd w:val="clear" w:color="auto" w:fill="F2F8F4"/>
            <w:tcMar>
              <w:left w:w="80" w:type="dxa"/>
              <w:right w:w="80" w:type="dxa"/>
            </w:tcMar>
          </w:tcPr>
          <w:p>
            <w:pPr>
              <w:spacing w:before="40" w:after="40" w:line="264" w:lineRule="auto"/>
            </w:pPr>
            <w:r>
              <w:rPr>
                <w:rFonts w:ascii="Arial" w:hAnsi="Arial"/>
                <w:b/>
                <w:color w:val="006B46"/>
                <w:sz w:val="17"/>
              </w:rPr>
              <w:t>Regel</w:t>
            </w:r>
          </w:p>
        </w:tc>
        <w:tc>
          <w:tcPr>
            <w:tcW w:type="dxa" w:w="3213"/>
            <w:shd w:val="clear" w:color="auto" w:fill="F2F8F4"/>
            <w:tcMar>
              <w:left w:w="80" w:type="dxa"/>
              <w:right w:w="80" w:type="dxa"/>
            </w:tcMar>
          </w:tcPr>
          <w:p>
            <w:pPr>
              <w:spacing w:before="40" w:after="40" w:line="264" w:lineRule="auto"/>
            </w:pPr>
            <w:r>
              <w:rPr>
                <w:rFonts w:ascii="Arial" w:hAnsi="Arial"/>
                <w:b/>
                <w:color w:val="006B46"/>
                <w:sz w:val="17"/>
              </w:rPr>
              <w:t>Beispiel</w:t>
            </w:r>
          </w:p>
        </w:tc>
      </w:tr>
      <w:tr>
        <w:tc>
          <w:tcPr>
            <w:tcW w:type="dxa" w:w="3213"/>
            <w:tcMar>
              <w:left w:w="80" w:type="dxa"/>
              <w:right w:w="80" w:type="dxa"/>
            </w:tcMar>
          </w:tcPr>
          <w:p>
            <w:pPr>
              <w:spacing w:before="40" w:after="40" w:line="264" w:lineRule="auto"/>
            </w:pPr>
            <w:r>
              <w:rPr>
                <w:rFonts w:ascii="Arial" w:hAnsi="Arial"/>
                <w:b w:val="0"/>
                <w:color w:val="111111"/>
                <w:sz w:val="17"/>
              </w:rPr>
              <w:t>1. Wer nämlich mit h schreibt, ist dämlich</w:t>
            </w:r>
          </w:p>
        </w:tc>
        <w:tc>
          <w:tcPr>
            <w:tcW w:type="dxa" w:w="3213"/>
            <w:tcMar>
              <w:left w:w="80" w:type="dxa"/>
              <w:right w:w="80" w:type="dxa"/>
            </w:tcMar>
          </w:tcPr>
          <w:p>
            <w:pPr>
              <w:spacing w:before="40" w:after="40" w:line="264" w:lineRule="auto"/>
            </w:pPr>
            <w:r>
              <w:rPr>
                <w:rFonts w:ascii="Arial" w:hAnsi="Arial"/>
                <w:b w:val="0"/>
                <w:color w:val="111111"/>
                <w:sz w:val="17"/>
              </w:rPr>
              <w:t>„Nämlich“ hat kein h, auch wenn es an „nahe“ erinnert.</w:t>
            </w:r>
          </w:p>
        </w:tc>
        <w:tc>
          <w:tcPr>
            <w:tcW w:type="dxa" w:w="3213"/>
            <w:tcMar>
              <w:left w:w="80" w:type="dxa"/>
              <w:right w:w="80" w:type="dxa"/>
            </w:tcMar>
          </w:tcPr>
          <w:p>
            <w:pPr>
              <w:spacing w:before="40" w:after="40" w:line="264" w:lineRule="auto"/>
            </w:pPr>
            <w:r>
              <w:rPr>
                <w:rFonts w:ascii="Arial" w:hAnsi="Arial"/>
                <w:b w:val="0"/>
                <w:color w:val="111111"/>
                <w:sz w:val="17"/>
              </w:rPr>
              <w:t>Er kam nämlich zu spät, nicht „nähmlich“.</w:t>
            </w:r>
          </w:p>
        </w:tc>
      </w:tr>
      <w:tr>
        <w:tc>
          <w:tcPr>
            <w:tcW w:type="dxa" w:w="3213"/>
            <w:tcMar>
              <w:left w:w="80" w:type="dxa"/>
              <w:right w:w="80" w:type="dxa"/>
            </w:tcMar>
          </w:tcPr>
          <w:p>
            <w:pPr>
              <w:spacing w:before="40" w:after="40" w:line="264" w:lineRule="auto"/>
            </w:pPr>
            <w:r>
              <w:rPr>
                <w:rFonts w:ascii="Arial" w:hAnsi="Arial"/>
                <w:b w:val="0"/>
                <w:color w:val="111111"/>
                <w:sz w:val="17"/>
              </w:rPr>
              <w:t>2. Trenne nie st, denn es tut ihm weh (VERALTET)</w:t>
            </w:r>
          </w:p>
        </w:tc>
        <w:tc>
          <w:tcPr>
            <w:tcW w:type="dxa" w:w="3213"/>
            <w:tcMar>
              <w:left w:w="80" w:type="dxa"/>
              <w:right w:w="80" w:type="dxa"/>
            </w:tcMar>
          </w:tcPr>
          <w:p>
            <w:pPr>
              <w:spacing w:before="40" w:after="40" w:line="264" w:lineRule="auto"/>
            </w:pPr>
            <w:r>
              <w:rPr>
                <w:rFonts w:ascii="Arial" w:hAnsi="Arial"/>
                <w:b w:val="0"/>
                <w:color w:val="111111"/>
                <w:sz w:val="17"/>
              </w:rPr>
              <w:t>Seit der Reform von 1996 darf st getrennt werden: Fen-ster.</w:t>
            </w:r>
          </w:p>
        </w:tc>
        <w:tc>
          <w:tcPr>
            <w:tcW w:type="dxa" w:w="3213"/>
            <w:tcMar>
              <w:left w:w="80" w:type="dxa"/>
              <w:right w:w="80" w:type="dxa"/>
            </w:tcMar>
          </w:tcPr>
          <w:p>
            <w:pPr>
              <w:spacing w:before="40" w:after="40" w:line="264" w:lineRule="auto"/>
            </w:pPr>
            <w:r>
              <w:rPr>
                <w:rFonts w:ascii="Arial" w:hAnsi="Arial"/>
                <w:b w:val="0"/>
                <w:color w:val="111111"/>
                <w:sz w:val="17"/>
              </w:rPr>
              <w:t>Alte Regel, heute ohne Wirkung: Fen-ster ist korrekt.</w:t>
            </w:r>
          </w:p>
        </w:tc>
      </w:tr>
      <w:tr>
        <w:tc>
          <w:tcPr>
            <w:tcW w:type="dxa" w:w="3213"/>
            <w:tcMar>
              <w:left w:w="80" w:type="dxa"/>
              <w:right w:w="80" w:type="dxa"/>
            </w:tcMar>
          </w:tcPr>
          <w:p>
            <w:pPr>
              <w:spacing w:before="40" w:after="40" w:line="264" w:lineRule="auto"/>
            </w:pPr>
            <w:r>
              <w:rPr>
                <w:rFonts w:ascii="Arial" w:hAnsi="Arial"/>
                <w:b w:val="0"/>
                <w:color w:val="111111"/>
                <w:sz w:val="17"/>
              </w:rPr>
              <w:t>3. Seit ist Zeit</w:t>
            </w:r>
          </w:p>
        </w:tc>
        <w:tc>
          <w:tcPr>
            <w:tcW w:type="dxa" w:w="3213"/>
            <w:tcMar>
              <w:left w:w="80" w:type="dxa"/>
              <w:right w:w="80" w:type="dxa"/>
            </w:tcMar>
          </w:tcPr>
          <w:p>
            <w:pPr>
              <w:spacing w:before="40" w:after="40" w:line="264" w:lineRule="auto"/>
            </w:pPr>
            <w:r>
              <w:rPr>
                <w:rFonts w:ascii="Arial" w:hAnsi="Arial"/>
                <w:b w:val="0"/>
                <w:color w:val="111111"/>
                <w:sz w:val="17"/>
              </w:rPr>
              <w:t>„Seit“ mit t bezeichnet einen Zeitpunkt, „seid“ ist eine Verbform von sein.</w:t>
            </w:r>
          </w:p>
        </w:tc>
        <w:tc>
          <w:tcPr>
            <w:tcW w:type="dxa" w:w="3213"/>
            <w:tcMar>
              <w:left w:w="80" w:type="dxa"/>
              <w:right w:w="80" w:type="dxa"/>
            </w:tcMar>
          </w:tcPr>
          <w:p>
            <w:pPr>
              <w:spacing w:before="40" w:after="40" w:line="264" w:lineRule="auto"/>
            </w:pPr>
            <w:r>
              <w:rPr>
                <w:rFonts w:ascii="Arial" w:hAnsi="Arial"/>
                <w:b w:val="0"/>
                <w:color w:val="111111"/>
                <w:sz w:val="17"/>
              </w:rPr>
              <w:t>Seit zwei Jahren wohnt sie hier. Seid ihr fertig?</w:t>
            </w:r>
          </w:p>
        </w:tc>
      </w:tr>
      <w:tr>
        <w:tc>
          <w:tcPr>
            <w:tcW w:type="dxa" w:w="3213"/>
            <w:tcMar>
              <w:left w:w="80" w:type="dxa"/>
              <w:right w:w="80" w:type="dxa"/>
            </w:tcMar>
          </w:tcPr>
          <w:p>
            <w:pPr>
              <w:spacing w:before="40" w:after="40" w:line="264" w:lineRule="auto"/>
            </w:pPr>
            <w:r>
              <w:rPr>
                <w:rFonts w:ascii="Arial" w:hAnsi="Arial"/>
                <w:b w:val="0"/>
                <w:color w:val="111111"/>
                <w:sz w:val="17"/>
              </w:rPr>
              <w:t>4. Ersatzprobe: passt „dieses“, dann dass mit ss</w:t>
            </w:r>
          </w:p>
        </w:tc>
        <w:tc>
          <w:tcPr>
            <w:tcW w:type="dxa" w:w="3213"/>
            <w:tcMar>
              <w:left w:w="80" w:type="dxa"/>
              <w:right w:w="80" w:type="dxa"/>
            </w:tcMar>
          </w:tcPr>
          <w:p>
            <w:pPr>
              <w:spacing w:before="40" w:after="40" w:line="264" w:lineRule="auto"/>
            </w:pPr>
            <w:r>
              <w:rPr>
                <w:rFonts w:ascii="Arial" w:hAnsi="Arial"/>
                <w:b w:val="0"/>
                <w:color w:val="111111"/>
                <w:sz w:val="17"/>
              </w:rPr>
              <w:t>„Das“ (Artikel/Pronomen) laesst sich durch „dieses“ oder „welches“ ersetzen, „dass“ (Konjunktion) nicht.</w:t>
            </w:r>
          </w:p>
        </w:tc>
        <w:tc>
          <w:tcPr>
            <w:tcW w:type="dxa" w:w="3213"/>
            <w:tcMar>
              <w:left w:w="80" w:type="dxa"/>
              <w:right w:w="80" w:type="dxa"/>
            </w:tcMar>
          </w:tcPr>
          <w:p>
            <w:pPr>
              <w:spacing w:before="40" w:after="40" w:line="264" w:lineRule="auto"/>
            </w:pPr>
            <w:r>
              <w:rPr>
                <w:rFonts w:ascii="Arial" w:hAnsi="Arial"/>
                <w:b w:val="0"/>
                <w:color w:val="111111"/>
                <w:sz w:val="17"/>
              </w:rPr>
              <w:t>Das Buch, dass ich meine → falsch. Ich weiß, dass es stimmt → richtig.</w:t>
            </w:r>
          </w:p>
        </w:tc>
      </w:tr>
      <w:tr>
        <w:tc>
          <w:tcPr>
            <w:tcW w:type="dxa" w:w="3213"/>
            <w:tcMar>
              <w:left w:w="80" w:type="dxa"/>
              <w:right w:w="80" w:type="dxa"/>
            </w:tcMar>
          </w:tcPr>
          <w:p>
            <w:pPr>
              <w:spacing w:before="40" w:after="40" w:line="264" w:lineRule="auto"/>
            </w:pPr>
            <w:r>
              <w:rPr>
                <w:rFonts w:ascii="Arial" w:hAnsi="Arial"/>
                <w:b w:val="0"/>
                <w:color w:val="111111"/>
                <w:sz w:val="17"/>
              </w:rPr>
              <w:t>5. Nur wer Tot mit d schreibt, ist tod</w:t>
            </w:r>
          </w:p>
        </w:tc>
        <w:tc>
          <w:tcPr>
            <w:tcW w:type="dxa" w:w="3213"/>
            <w:tcMar>
              <w:left w:w="80" w:type="dxa"/>
              <w:right w:w="80" w:type="dxa"/>
            </w:tcMar>
          </w:tcPr>
          <w:p>
            <w:pPr>
              <w:spacing w:before="40" w:after="40" w:line="264" w:lineRule="auto"/>
            </w:pPr>
            <w:r>
              <w:rPr>
                <w:rFonts w:ascii="Arial" w:hAnsi="Arial"/>
                <w:b w:val="0"/>
                <w:color w:val="111111"/>
                <w:sz w:val="17"/>
              </w:rPr>
              <w:t>„Tot“ (Adjektiv) hat ein t, „Tod“ (Substantiv) ein d.</w:t>
            </w:r>
          </w:p>
        </w:tc>
        <w:tc>
          <w:tcPr>
            <w:tcW w:type="dxa" w:w="3213"/>
            <w:tcMar>
              <w:left w:w="80" w:type="dxa"/>
              <w:right w:w="80" w:type="dxa"/>
            </w:tcMar>
          </w:tcPr>
          <w:p>
            <w:pPr>
              <w:spacing w:before="40" w:after="40" w:line="264" w:lineRule="auto"/>
            </w:pPr>
            <w:r>
              <w:rPr>
                <w:rFonts w:ascii="Arial" w:hAnsi="Arial"/>
                <w:b w:val="0"/>
                <w:color w:val="111111"/>
                <w:sz w:val="17"/>
              </w:rPr>
              <w:t>Der Vogel war tot. Sein Tod kam plötzlich.</w:t>
            </w:r>
          </w:p>
        </w:tc>
      </w:tr>
      <w:tr>
        <w:tc>
          <w:tcPr>
            <w:tcW w:type="dxa" w:w="3213"/>
            <w:tcMar>
              <w:left w:w="80" w:type="dxa"/>
              <w:right w:w="80" w:type="dxa"/>
            </w:tcMar>
          </w:tcPr>
          <w:p>
            <w:pPr>
              <w:spacing w:before="40" w:after="40" w:line="264" w:lineRule="auto"/>
            </w:pPr>
            <w:r>
              <w:rPr>
                <w:rFonts w:ascii="Arial" w:hAnsi="Arial"/>
                <w:b w:val="0"/>
                <w:color w:val="111111"/>
                <w:sz w:val="17"/>
              </w:rPr>
              <w:t>6. Wieder kommt wieder, wider ist dagegen</w:t>
            </w:r>
          </w:p>
        </w:tc>
        <w:tc>
          <w:tcPr>
            <w:tcW w:type="dxa" w:w="3213"/>
            <w:tcMar>
              <w:left w:w="80" w:type="dxa"/>
              <w:right w:w="80" w:type="dxa"/>
            </w:tcMar>
          </w:tcPr>
          <w:p>
            <w:pPr>
              <w:spacing w:before="40" w:after="40" w:line="264" w:lineRule="auto"/>
            </w:pPr>
            <w:r>
              <w:rPr>
                <w:rFonts w:ascii="Arial" w:hAnsi="Arial"/>
                <w:b w:val="0"/>
                <w:color w:val="111111"/>
                <w:sz w:val="17"/>
              </w:rPr>
              <w:t>„Wieder“ heißt erneut, „wider“ heißt entgegen, gegen.</w:t>
            </w:r>
          </w:p>
        </w:tc>
        <w:tc>
          <w:tcPr>
            <w:tcW w:type="dxa" w:w="3213"/>
            <w:tcMar>
              <w:left w:w="80" w:type="dxa"/>
              <w:right w:w="80" w:type="dxa"/>
            </w:tcMar>
          </w:tcPr>
          <w:p>
            <w:pPr>
              <w:spacing w:before="40" w:after="40" w:line="264" w:lineRule="auto"/>
            </w:pPr>
            <w:r>
              <w:rPr>
                <w:rFonts w:ascii="Arial" w:hAnsi="Arial"/>
                <w:b w:val="0"/>
                <w:color w:val="111111"/>
                <w:sz w:val="17"/>
              </w:rPr>
              <w:t>Ich komme wieder. Das spricht meinem Vorhaben wider.</w:t>
            </w:r>
          </w:p>
        </w:tc>
      </w:tr>
      <w:tr>
        <w:tc>
          <w:tcPr>
            <w:tcW w:type="dxa" w:w="3213"/>
            <w:tcMar>
              <w:left w:w="80" w:type="dxa"/>
              <w:right w:w="80" w:type="dxa"/>
            </w:tcMar>
          </w:tcPr>
          <w:p>
            <w:pPr>
              <w:spacing w:before="40" w:after="40" w:line="264" w:lineRule="auto"/>
            </w:pPr>
            <w:r>
              <w:rPr>
                <w:rFonts w:ascii="Arial" w:hAnsi="Arial"/>
                <w:b w:val="0"/>
                <w:color w:val="111111"/>
                <w:sz w:val="17"/>
              </w:rPr>
              <w:t>7. -ig endet weich, -lich klingt hart</w:t>
            </w:r>
          </w:p>
        </w:tc>
        <w:tc>
          <w:tcPr>
            <w:tcW w:type="dxa" w:w="3213"/>
            <w:tcMar>
              <w:left w:w="80" w:type="dxa"/>
              <w:right w:w="80" w:type="dxa"/>
            </w:tcMar>
          </w:tcPr>
          <w:p>
            <w:pPr>
              <w:spacing w:before="40" w:after="40" w:line="264" w:lineRule="auto"/>
            </w:pPr>
            <w:r>
              <w:rPr>
                <w:rFonts w:ascii="Arial" w:hAnsi="Arial"/>
                <w:b w:val="0"/>
                <w:color w:val="111111"/>
                <w:sz w:val="17"/>
              </w:rPr>
              <w:t>Wörter auf „-ig“ (richtig, wichtig) sprechen sich anders als solche auf „-lich“ (freundlich, möglich); die Endung hilft bei der Schreibweise unklarer Wörter.</w:t>
            </w:r>
          </w:p>
        </w:tc>
        <w:tc>
          <w:tcPr>
            <w:tcW w:type="dxa" w:w="3213"/>
            <w:tcMar>
              <w:left w:w="80" w:type="dxa"/>
              <w:right w:w="80" w:type="dxa"/>
            </w:tcMar>
          </w:tcPr>
          <w:p>
            <w:pPr>
              <w:spacing w:before="40" w:after="40" w:line="264" w:lineRule="auto"/>
            </w:pPr>
            <w:r>
              <w:rPr>
                <w:rFonts w:ascii="Arial" w:hAnsi="Arial"/>
                <w:b w:val="0"/>
                <w:color w:val="111111"/>
                <w:sz w:val="17"/>
              </w:rPr>
              <w:t>richtig, nicht richtich; möglich, nicht möglig.</w:t>
            </w:r>
          </w:p>
        </w:tc>
      </w:tr>
      <w:tr>
        <w:tc>
          <w:tcPr>
            <w:tcW w:type="dxa" w:w="3213"/>
            <w:tcMar>
              <w:left w:w="80" w:type="dxa"/>
              <w:right w:w="80" w:type="dxa"/>
            </w:tcMar>
          </w:tcPr>
          <w:p>
            <w:pPr>
              <w:spacing w:before="40" w:after="40" w:line="264" w:lineRule="auto"/>
            </w:pPr>
            <w:r>
              <w:rPr>
                <w:rFonts w:ascii="Arial" w:hAnsi="Arial"/>
                <w:b w:val="0"/>
                <w:color w:val="111111"/>
                <w:sz w:val="17"/>
              </w:rPr>
              <w:t>8. Ich bin's mit Apostroph, weil ein Buchstabe fehlt</w:t>
            </w:r>
          </w:p>
        </w:tc>
        <w:tc>
          <w:tcPr>
            <w:tcW w:type="dxa" w:w="3213"/>
            <w:tcMar>
              <w:left w:w="80" w:type="dxa"/>
              <w:right w:w="80" w:type="dxa"/>
            </w:tcMar>
          </w:tcPr>
          <w:p>
            <w:pPr>
              <w:spacing w:before="40" w:after="40" w:line="264" w:lineRule="auto"/>
            </w:pPr>
            <w:r>
              <w:rPr>
                <w:rFonts w:ascii="Arial" w:hAnsi="Arial"/>
                <w:b w:val="0"/>
                <w:color w:val="111111"/>
                <w:sz w:val="17"/>
              </w:rPr>
              <w:t>Der Apostroph markiert eine Auslassung, hier das e in „es“.</w:t>
            </w:r>
          </w:p>
        </w:tc>
        <w:tc>
          <w:tcPr>
            <w:tcW w:type="dxa" w:w="3213"/>
            <w:tcMar>
              <w:left w:w="80" w:type="dxa"/>
              <w:right w:w="80" w:type="dxa"/>
            </w:tcMar>
          </w:tcPr>
          <w:p>
            <w:pPr>
              <w:spacing w:before="40" w:after="40" w:line="264" w:lineRule="auto"/>
            </w:pPr>
            <w:r>
              <w:rPr>
                <w:rFonts w:ascii="Arial" w:hAnsi="Arial"/>
                <w:b w:val="0"/>
                <w:color w:val="111111"/>
                <w:sz w:val="17"/>
              </w:rPr>
              <w:t>Ich bin's schon wieder. Wie geht's dir heute?</w:t>
            </w:r>
          </w:p>
        </w:tc>
      </w:tr>
      <w:tr>
        <w:tc>
          <w:tcPr>
            <w:tcW w:type="dxa" w:w="3213"/>
            <w:tcMar>
              <w:left w:w="80" w:type="dxa"/>
              <w:right w:w="80" w:type="dxa"/>
            </w:tcMar>
          </w:tcPr>
          <w:p>
            <w:pPr>
              <w:spacing w:before="40" w:after="40" w:line="264" w:lineRule="auto"/>
            </w:pPr>
            <w:r>
              <w:rPr>
                <w:rFonts w:ascii="Arial" w:hAnsi="Arial"/>
                <w:b w:val="0"/>
                <w:color w:val="111111"/>
                <w:sz w:val="17"/>
              </w:rPr>
              <w:t>9. Standard hat ein d, kein t</w:t>
            </w:r>
          </w:p>
        </w:tc>
        <w:tc>
          <w:tcPr>
            <w:tcW w:type="dxa" w:w="3213"/>
            <w:tcMar>
              <w:left w:w="80" w:type="dxa"/>
              <w:right w:w="80" w:type="dxa"/>
            </w:tcMar>
          </w:tcPr>
          <w:p>
            <w:pPr>
              <w:spacing w:before="40" w:after="40" w:line="264" w:lineRule="auto"/>
            </w:pPr>
            <w:r>
              <w:rPr>
                <w:rFonts w:ascii="Arial" w:hAnsi="Arial"/>
                <w:b w:val="0"/>
                <w:color w:val="111111"/>
                <w:sz w:val="17"/>
              </w:rPr>
              <w:t>Das Fremdwort „Standard“ wird im Deutschen mit d am Ende geschrieben, nicht wie „Start“.</w:t>
            </w:r>
          </w:p>
        </w:tc>
        <w:tc>
          <w:tcPr>
            <w:tcW w:type="dxa" w:w="3213"/>
            <w:tcMar>
              <w:left w:w="80" w:type="dxa"/>
              <w:right w:w="80" w:type="dxa"/>
            </w:tcMar>
          </w:tcPr>
          <w:p>
            <w:pPr>
              <w:spacing w:before="40" w:after="40" w:line="264" w:lineRule="auto"/>
            </w:pPr>
            <w:r>
              <w:rPr>
                <w:rFonts w:ascii="Arial" w:hAnsi="Arial"/>
                <w:b w:val="0"/>
                <w:color w:val="111111"/>
                <w:sz w:val="17"/>
              </w:rPr>
              <w:t>Das ist der neue Standard, nicht „Standart“.</w:t>
            </w:r>
          </w:p>
        </w:tc>
      </w:tr>
      <w:tr>
        <w:tc>
          <w:tcPr>
            <w:tcW w:type="dxa" w:w="3213"/>
            <w:tcMar>
              <w:left w:w="80" w:type="dxa"/>
              <w:right w:w="80" w:type="dxa"/>
            </w:tcMar>
          </w:tcPr>
          <w:p>
            <w:pPr>
              <w:spacing w:before="40" w:after="40" w:line="264" w:lineRule="auto"/>
            </w:pPr>
            <w:r>
              <w:rPr>
                <w:rFonts w:ascii="Arial" w:hAnsi="Arial"/>
                <w:b w:val="0"/>
                <w:color w:val="111111"/>
                <w:sz w:val="17"/>
              </w:rPr>
              <w:t>10. Lieber Gott, lass mich fromm sein, dass ich in den Himmel komm</w:t>
            </w:r>
          </w:p>
        </w:tc>
        <w:tc>
          <w:tcPr>
            <w:tcW w:type="dxa" w:w="3213"/>
            <w:tcMar>
              <w:left w:w="80" w:type="dxa"/>
              <w:right w:w="80" w:type="dxa"/>
            </w:tcMar>
          </w:tcPr>
          <w:p>
            <w:pPr>
              <w:spacing w:before="40" w:after="40" w:line="264" w:lineRule="auto"/>
            </w:pPr>
            <w:r>
              <w:rPr>
                <w:rFonts w:ascii="Arial" w:hAnsi="Arial"/>
                <w:b w:val="0"/>
                <w:color w:val="111111"/>
                <w:sz w:val="17"/>
              </w:rPr>
              <w:t>Merkreim für die Verdopplung des Konsonanten nach kurzem Vokal: fromm, komm mit Doppelbuchstabe.</w:t>
            </w:r>
          </w:p>
        </w:tc>
        <w:tc>
          <w:tcPr>
            <w:tcW w:type="dxa" w:w="3213"/>
            <w:tcMar>
              <w:left w:w="80" w:type="dxa"/>
              <w:right w:w="80" w:type="dxa"/>
            </w:tcMar>
          </w:tcPr>
          <w:p>
            <w:pPr>
              <w:spacing w:before="40" w:after="40" w:line="264" w:lineRule="auto"/>
            </w:pPr>
            <w:r>
              <w:rPr>
                <w:rFonts w:ascii="Arial" w:hAnsi="Arial"/>
                <w:b w:val="0"/>
                <w:color w:val="111111"/>
                <w:sz w:val="17"/>
              </w:rPr>
              <w:t>Sie ist fromm. Ich komm gleich (in lockerer Alltagssprache).</w:t>
            </w:r>
          </w:p>
        </w:tc>
      </w:tr>
      <w:tr>
        <w:tc>
          <w:tcPr>
            <w:tcW w:type="dxa" w:w="3213"/>
            <w:tcMar>
              <w:left w:w="80" w:type="dxa"/>
              <w:right w:w="80" w:type="dxa"/>
            </w:tcMar>
          </w:tcPr>
          <w:p>
            <w:pPr>
              <w:spacing w:before="40" w:after="40" w:line="264" w:lineRule="auto"/>
            </w:pPr>
            <w:r>
              <w:rPr>
                <w:rFonts w:ascii="Arial" w:hAnsi="Arial"/>
                <w:b w:val="0"/>
                <w:color w:val="111111"/>
                <w:sz w:val="17"/>
              </w:rPr>
              <w:t>11. Ihre und Ihnen groß, wenn man siezt</w:t>
            </w:r>
          </w:p>
        </w:tc>
        <w:tc>
          <w:tcPr>
            <w:tcW w:type="dxa" w:w="3213"/>
            <w:tcMar>
              <w:left w:w="80" w:type="dxa"/>
              <w:right w:w="80" w:type="dxa"/>
            </w:tcMar>
          </w:tcPr>
          <w:p>
            <w:pPr>
              <w:spacing w:before="40" w:after="40" w:line="264" w:lineRule="auto"/>
            </w:pPr>
            <w:r>
              <w:rPr>
                <w:rFonts w:ascii="Arial" w:hAnsi="Arial"/>
                <w:b w:val="0"/>
                <w:color w:val="111111"/>
                <w:sz w:val="17"/>
              </w:rPr>
              <w:t>Die Höflichkeitsanrede „Sie“, „Ihnen“, „Ihr“ wird immer großgeschrieben, das persönliche „ihr“ nur am Satzanfang.</w:t>
            </w:r>
          </w:p>
        </w:tc>
        <w:tc>
          <w:tcPr>
            <w:tcW w:type="dxa" w:w="3213"/>
            <w:tcMar>
              <w:left w:w="80" w:type="dxa"/>
              <w:right w:w="80" w:type="dxa"/>
            </w:tcMar>
          </w:tcPr>
          <w:p>
            <w:pPr>
              <w:spacing w:before="40" w:after="40" w:line="264" w:lineRule="auto"/>
            </w:pPr>
            <w:r>
              <w:rPr>
                <w:rFonts w:ascii="Arial" w:hAnsi="Arial"/>
                <w:b w:val="0"/>
                <w:color w:val="111111"/>
                <w:sz w:val="17"/>
              </w:rPr>
              <w:t>Haben Sie Ihren Ausweis dabei? Ich schreibe Ihnen morgen.</w:t>
            </w:r>
          </w:p>
        </w:tc>
      </w:tr>
      <w:tr>
        <w:tc>
          <w:tcPr>
            <w:tcW w:type="dxa" w:w="3213"/>
            <w:tcMar>
              <w:left w:w="80" w:type="dxa"/>
              <w:right w:w="80" w:type="dxa"/>
            </w:tcMar>
          </w:tcPr>
          <w:p>
            <w:pPr>
              <w:spacing w:before="40" w:after="40" w:line="264" w:lineRule="auto"/>
            </w:pPr>
            <w:r>
              <w:rPr>
                <w:rFonts w:ascii="Arial" w:hAnsi="Arial"/>
                <w:b w:val="0"/>
                <w:color w:val="111111"/>
                <w:sz w:val="17"/>
              </w:rPr>
              <w:t>12. Zwei p wie in „Stopp“, wenn der Vokal kurz bleibt</w:t>
            </w:r>
          </w:p>
        </w:tc>
        <w:tc>
          <w:tcPr>
            <w:tcW w:type="dxa" w:w="3213"/>
            <w:tcMar>
              <w:left w:w="80" w:type="dxa"/>
              <w:right w:w="80" w:type="dxa"/>
            </w:tcMar>
          </w:tcPr>
          <w:p>
            <w:pPr>
              <w:spacing w:before="40" w:after="40" w:line="264" w:lineRule="auto"/>
            </w:pPr>
            <w:r>
              <w:rPr>
                <w:rFonts w:ascii="Arial" w:hAnsi="Arial"/>
                <w:b w:val="0"/>
                <w:color w:val="111111"/>
                <w:sz w:val="17"/>
              </w:rPr>
              <w:t>Nach kurzem betontem Vokal steht oft ein doppelter Konsonant, das schützt die kurze Aussprache.</w:t>
            </w:r>
          </w:p>
        </w:tc>
        <w:tc>
          <w:tcPr>
            <w:tcW w:type="dxa" w:w="3213"/>
            <w:tcMar>
              <w:left w:w="80" w:type="dxa"/>
              <w:right w:w="80" w:type="dxa"/>
            </w:tcMar>
          </w:tcPr>
          <w:p>
            <w:pPr>
              <w:spacing w:before="40" w:after="40" w:line="264" w:lineRule="auto"/>
            </w:pPr>
            <w:r>
              <w:rPr>
                <w:rFonts w:ascii="Arial" w:hAnsi="Arial"/>
                <w:b w:val="0"/>
                <w:color w:val="111111"/>
                <w:sz w:val="17"/>
              </w:rPr>
              <w:t>der Stopp, das Schiff, die Mappe.</w:t>
            </w:r>
          </w:p>
        </w:tc>
      </w:tr>
      <w:tr>
        <w:tc>
          <w:tcPr>
            <w:tcW w:type="dxa" w:w="3213"/>
            <w:tcMar>
              <w:left w:w="80" w:type="dxa"/>
              <w:right w:w="80" w:type="dxa"/>
            </w:tcMar>
          </w:tcPr>
          <w:p>
            <w:pPr>
              <w:spacing w:before="40" w:after="40" w:line="264" w:lineRule="auto"/>
            </w:pPr>
            <w:r>
              <w:rPr>
                <w:rFonts w:ascii="Arial" w:hAnsi="Arial"/>
                <w:b w:val="0"/>
                <w:color w:val="111111"/>
                <w:sz w:val="17"/>
              </w:rPr>
              <w:t>13. Zusammengesetzte Nomen immer zusammen</w:t>
            </w:r>
          </w:p>
        </w:tc>
        <w:tc>
          <w:tcPr>
            <w:tcW w:type="dxa" w:w="3213"/>
            <w:tcMar>
              <w:left w:w="80" w:type="dxa"/>
              <w:right w:w="80" w:type="dxa"/>
            </w:tcMar>
          </w:tcPr>
          <w:p>
            <w:pPr>
              <w:spacing w:before="40" w:after="40" w:line="264" w:lineRule="auto"/>
            </w:pPr>
            <w:r>
              <w:rPr>
                <w:rFonts w:ascii="Arial" w:hAnsi="Arial"/>
                <w:b w:val="0"/>
                <w:color w:val="111111"/>
                <w:sz w:val="17"/>
              </w:rPr>
              <w:t>Zwei Substantive, die einen neuen Begriff bilden, werden zusammengeschrieben, auch wenn das Wort lang wird.</w:t>
            </w:r>
          </w:p>
        </w:tc>
        <w:tc>
          <w:tcPr>
            <w:tcW w:type="dxa" w:w="3213"/>
            <w:tcMar>
              <w:left w:w="80" w:type="dxa"/>
              <w:right w:w="80" w:type="dxa"/>
            </w:tcMar>
          </w:tcPr>
          <w:p>
            <w:pPr>
              <w:spacing w:before="40" w:after="40" w:line="264" w:lineRule="auto"/>
            </w:pPr>
            <w:r>
              <w:rPr>
                <w:rFonts w:ascii="Arial" w:hAnsi="Arial"/>
                <w:b w:val="0"/>
                <w:color w:val="111111"/>
                <w:sz w:val="17"/>
              </w:rPr>
              <w:t>die Fußballweltmeisterschaft, das Autobahnkreuz.</w:t>
            </w:r>
          </w:p>
        </w:tc>
      </w:tr>
      <w:tr>
        <w:tc>
          <w:tcPr>
            <w:tcW w:type="dxa" w:w="3213"/>
            <w:tcMar>
              <w:left w:w="80" w:type="dxa"/>
              <w:right w:w="80" w:type="dxa"/>
            </w:tcMar>
          </w:tcPr>
          <w:p>
            <w:pPr>
              <w:spacing w:before="40" w:after="40" w:line="264" w:lineRule="auto"/>
            </w:pPr>
            <w:r>
              <w:rPr>
                <w:rFonts w:ascii="Arial" w:hAnsi="Arial"/>
                <w:b w:val="0"/>
                <w:color w:val="111111"/>
                <w:sz w:val="17"/>
              </w:rPr>
              <w:t>14. Am Satzanfang und bei Nomen immer groß</w:t>
            </w:r>
          </w:p>
        </w:tc>
        <w:tc>
          <w:tcPr>
            <w:tcW w:type="dxa" w:w="3213"/>
            <w:tcMar>
              <w:left w:w="80" w:type="dxa"/>
              <w:right w:w="80" w:type="dxa"/>
            </w:tcMar>
          </w:tcPr>
          <w:p>
            <w:pPr>
              <w:spacing w:before="40" w:after="40" w:line="264" w:lineRule="auto"/>
            </w:pPr>
            <w:r>
              <w:rPr>
                <w:rFonts w:ascii="Arial" w:hAnsi="Arial"/>
                <w:b w:val="0"/>
                <w:color w:val="111111"/>
                <w:sz w:val="17"/>
              </w:rPr>
              <w:t>Substantive werden unabhängig von ihrer Stellung im Satz großgeschrieben.</w:t>
            </w:r>
          </w:p>
        </w:tc>
        <w:tc>
          <w:tcPr>
            <w:tcW w:type="dxa" w:w="3213"/>
            <w:tcMar>
              <w:left w:w="80" w:type="dxa"/>
              <w:right w:w="80" w:type="dxa"/>
            </w:tcMar>
          </w:tcPr>
          <w:p>
            <w:pPr>
              <w:spacing w:before="40" w:after="40" w:line="264" w:lineRule="auto"/>
            </w:pPr>
            <w:r>
              <w:rPr>
                <w:rFonts w:ascii="Arial" w:hAnsi="Arial"/>
                <w:b w:val="0"/>
                <w:color w:val="111111"/>
                <w:sz w:val="17"/>
              </w:rPr>
              <w:t>Der Tisch steht im Zimmer. Beim Laufen wird es warm.</w:t>
            </w:r>
          </w:p>
        </w:tc>
      </w:tr>
      <w:tr>
        <w:tc>
          <w:tcPr>
            <w:tcW w:type="dxa" w:w="3213"/>
            <w:tcMar>
              <w:left w:w="80" w:type="dxa"/>
              <w:right w:w="80" w:type="dxa"/>
            </w:tcMar>
          </w:tcPr>
          <w:p>
            <w:pPr>
              <w:spacing w:before="40" w:after="40" w:line="264" w:lineRule="auto"/>
            </w:pPr>
            <w:r>
              <w:rPr>
                <w:rFonts w:ascii="Arial" w:hAnsi="Arial"/>
                <w:b w:val="0"/>
                <w:color w:val="111111"/>
                <w:sz w:val="17"/>
              </w:rPr>
              <w:t>15. Fremdwörter auf -tion sprechen sich zi, schreiben sich aber ti</w:t>
            </w:r>
          </w:p>
        </w:tc>
        <w:tc>
          <w:tcPr>
            <w:tcW w:type="dxa" w:w="3213"/>
            <w:tcMar>
              <w:left w:w="80" w:type="dxa"/>
              <w:right w:w="80" w:type="dxa"/>
            </w:tcMar>
          </w:tcPr>
          <w:p>
            <w:pPr>
              <w:spacing w:before="40" w:after="40" w:line="264" w:lineRule="auto"/>
            </w:pPr>
            <w:r>
              <w:rPr>
                <w:rFonts w:ascii="Arial" w:hAnsi="Arial"/>
                <w:b w:val="0"/>
                <w:color w:val="111111"/>
                <w:sz w:val="17"/>
              </w:rPr>
              <w:t>Die Endung „-tion“ wird „zion“ gesprochen, aber mit t geschrieben.</w:t>
            </w:r>
          </w:p>
        </w:tc>
        <w:tc>
          <w:tcPr>
            <w:tcW w:type="dxa" w:w="3213"/>
            <w:tcMar>
              <w:left w:w="80" w:type="dxa"/>
              <w:right w:w="80" w:type="dxa"/>
            </w:tcMar>
          </w:tcPr>
          <w:p>
            <w:pPr>
              <w:spacing w:before="40" w:after="40" w:line="264" w:lineRule="auto"/>
            </w:pPr>
            <w:r>
              <w:rPr>
                <w:rFonts w:ascii="Arial" w:hAnsi="Arial"/>
                <w:b w:val="0"/>
                <w:color w:val="111111"/>
                <w:sz w:val="17"/>
              </w:rPr>
              <w:t>die Situation, die Funktion, nicht „Situazion“.</w:t>
            </w:r>
          </w:p>
        </w:tc>
      </w:tr>
    </w:tbl>
    <w:p>
      <w:pPr>
        <w:spacing w:before="0" w:after="120" w:line="276" w:lineRule="auto"/>
      </w:pPr>
    </w:p>
    <w:p>
      <w:r>
        <w:br w:type="page"/>
      </w:r>
    </w:p>
    <w:p>
      <w:pPr>
        <w:spacing w:before="280" w:after="120" w:line="276" w:lineRule="auto"/>
      </w:pPr>
      <w:r>
        <w:rPr>
          <w:rFonts w:ascii="Arial" w:hAnsi="Arial"/>
          <w:b/>
          <w:i w:val="0"/>
          <w:color w:val="111111"/>
          <w:sz w:val="24"/>
        </w:rPr>
        <w:t>Grammatik</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3213"/>
        <w:gridCol w:w="3213"/>
      </w:tblGrid>
      <w:tr>
        <w:tc>
          <w:tcPr>
            <w:tcW w:type="dxa" w:w="3213"/>
            <w:shd w:val="clear" w:color="auto" w:fill="F2F8F4"/>
            <w:tcMar>
              <w:left w:w="80" w:type="dxa"/>
              <w:right w:w="80" w:type="dxa"/>
            </w:tcMar>
          </w:tcPr>
          <w:p>
            <w:pPr>
              <w:spacing w:before="40" w:after="40" w:line="264" w:lineRule="auto"/>
            </w:pPr>
            <w:r>
              <w:rPr>
                <w:rFonts w:ascii="Arial" w:hAnsi="Arial"/>
                <w:b/>
                <w:color w:val="006B46"/>
                <w:sz w:val="17"/>
              </w:rPr>
              <w:t>Merksatz</w:t>
            </w:r>
          </w:p>
        </w:tc>
        <w:tc>
          <w:tcPr>
            <w:tcW w:type="dxa" w:w="3213"/>
            <w:shd w:val="clear" w:color="auto" w:fill="F2F8F4"/>
            <w:tcMar>
              <w:left w:w="80" w:type="dxa"/>
              <w:right w:w="80" w:type="dxa"/>
            </w:tcMar>
          </w:tcPr>
          <w:p>
            <w:pPr>
              <w:spacing w:before="40" w:after="40" w:line="264" w:lineRule="auto"/>
            </w:pPr>
            <w:r>
              <w:rPr>
                <w:rFonts w:ascii="Arial" w:hAnsi="Arial"/>
                <w:b/>
                <w:color w:val="006B46"/>
                <w:sz w:val="17"/>
              </w:rPr>
              <w:t>Regel</w:t>
            </w:r>
          </w:p>
        </w:tc>
        <w:tc>
          <w:tcPr>
            <w:tcW w:type="dxa" w:w="3213"/>
            <w:shd w:val="clear" w:color="auto" w:fill="F2F8F4"/>
            <w:tcMar>
              <w:left w:w="80" w:type="dxa"/>
              <w:right w:w="80" w:type="dxa"/>
            </w:tcMar>
          </w:tcPr>
          <w:p>
            <w:pPr>
              <w:spacing w:before="40" w:after="40" w:line="264" w:lineRule="auto"/>
            </w:pPr>
            <w:r>
              <w:rPr>
                <w:rFonts w:ascii="Arial" w:hAnsi="Arial"/>
                <w:b/>
                <w:color w:val="006B46"/>
                <w:sz w:val="17"/>
              </w:rPr>
              <w:t>Beispiel</w:t>
            </w:r>
          </w:p>
        </w:tc>
      </w:tr>
      <w:tr>
        <w:tc>
          <w:tcPr>
            <w:tcW w:type="dxa" w:w="3213"/>
            <w:tcMar>
              <w:left w:w="80" w:type="dxa"/>
              <w:right w:w="80" w:type="dxa"/>
            </w:tcMar>
          </w:tcPr>
          <w:p>
            <w:pPr>
              <w:spacing w:before="40" w:after="40" w:line="264" w:lineRule="auto"/>
            </w:pPr>
            <w:r>
              <w:rPr>
                <w:rFonts w:ascii="Arial" w:hAnsi="Arial"/>
                <w:b w:val="0"/>
                <w:color w:val="111111"/>
                <w:sz w:val="17"/>
              </w:rPr>
              <w:t>16. Wer? Wessen? Wem? Wen? – die vier Kasusfragen</w:t>
            </w:r>
          </w:p>
        </w:tc>
        <w:tc>
          <w:tcPr>
            <w:tcW w:type="dxa" w:w="3213"/>
            <w:tcMar>
              <w:left w:w="80" w:type="dxa"/>
              <w:right w:w="80" w:type="dxa"/>
            </w:tcMar>
          </w:tcPr>
          <w:p>
            <w:pPr>
              <w:spacing w:before="40" w:after="40" w:line="264" w:lineRule="auto"/>
            </w:pPr>
            <w:r>
              <w:rPr>
                <w:rFonts w:ascii="Arial" w:hAnsi="Arial"/>
                <w:b w:val="0"/>
                <w:color w:val="111111"/>
                <w:sz w:val="17"/>
              </w:rPr>
              <w:t>Nominativ fragt „wer/was“, Genitiv „wessen“, Dativ „wem“, Akkusativ „wen/was“: so findet man den Fall im Satz.</w:t>
            </w:r>
          </w:p>
        </w:tc>
        <w:tc>
          <w:tcPr>
            <w:tcW w:type="dxa" w:w="3213"/>
            <w:tcMar>
              <w:left w:w="80" w:type="dxa"/>
              <w:right w:w="80" w:type="dxa"/>
            </w:tcMar>
          </w:tcPr>
          <w:p>
            <w:pPr>
              <w:spacing w:before="40" w:after="40" w:line="264" w:lineRule="auto"/>
            </w:pPr>
            <w:r>
              <w:rPr>
                <w:rFonts w:ascii="Arial" w:hAnsi="Arial"/>
                <w:b w:val="0"/>
                <w:color w:val="111111"/>
                <w:sz w:val="17"/>
              </w:rPr>
              <w:t>Der Hund (wer?) beißt den Briefträger (wen?).</w:t>
            </w:r>
          </w:p>
        </w:tc>
      </w:tr>
      <w:tr>
        <w:tc>
          <w:tcPr>
            <w:tcW w:type="dxa" w:w="3213"/>
            <w:tcMar>
              <w:left w:w="80" w:type="dxa"/>
              <w:right w:w="80" w:type="dxa"/>
            </w:tcMar>
          </w:tcPr>
          <w:p>
            <w:pPr>
              <w:spacing w:before="40" w:after="40" w:line="264" w:lineRule="auto"/>
            </w:pPr>
            <w:r>
              <w:rPr>
                <w:rFonts w:ascii="Arial" w:hAnsi="Arial"/>
                <w:b w:val="0"/>
                <w:color w:val="111111"/>
                <w:sz w:val="17"/>
              </w:rPr>
              <w:t>17. Aus, bei, mit, nach, seit, von, zu – der Dativ steht parat</w:t>
            </w:r>
          </w:p>
        </w:tc>
        <w:tc>
          <w:tcPr>
            <w:tcW w:type="dxa" w:w="3213"/>
            <w:tcMar>
              <w:left w:w="80" w:type="dxa"/>
              <w:right w:w="80" w:type="dxa"/>
            </w:tcMar>
          </w:tcPr>
          <w:p>
            <w:pPr>
              <w:spacing w:before="40" w:after="40" w:line="264" w:lineRule="auto"/>
            </w:pPr>
            <w:r>
              <w:rPr>
                <w:rFonts w:ascii="Arial" w:hAnsi="Arial"/>
                <w:b w:val="0"/>
                <w:color w:val="111111"/>
                <w:sz w:val="17"/>
              </w:rPr>
              <w:t>Diese Präpositionen verlangen immer den Dativ.</w:t>
            </w:r>
          </w:p>
        </w:tc>
        <w:tc>
          <w:tcPr>
            <w:tcW w:type="dxa" w:w="3213"/>
            <w:tcMar>
              <w:left w:w="80" w:type="dxa"/>
              <w:right w:w="80" w:type="dxa"/>
            </w:tcMar>
          </w:tcPr>
          <w:p>
            <w:pPr>
              <w:spacing w:before="40" w:after="40" w:line="264" w:lineRule="auto"/>
            </w:pPr>
            <w:r>
              <w:rPr>
                <w:rFonts w:ascii="Arial" w:hAnsi="Arial"/>
                <w:b w:val="0"/>
                <w:color w:val="111111"/>
                <w:sz w:val="17"/>
              </w:rPr>
              <w:t>Sie kommt aus dem Haus. Er wohnt bei seiner Tante.</w:t>
            </w:r>
          </w:p>
        </w:tc>
      </w:tr>
      <w:tr>
        <w:tc>
          <w:tcPr>
            <w:tcW w:type="dxa" w:w="3213"/>
            <w:tcMar>
              <w:left w:w="80" w:type="dxa"/>
              <w:right w:w="80" w:type="dxa"/>
            </w:tcMar>
          </w:tcPr>
          <w:p>
            <w:pPr>
              <w:spacing w:before="40" w:after="40" w:line="264" w:lineRule="auto"/>
            </w:pPr>
            <w:r>
              <w:rPr>
                <w:rFonts w:ascii="Arial" w:hAnsi="Arial"/>
                <w:b w:val="0"/>
                <w:color w:val="111111"/>
                <w:sz w:val="17"/>
              </w:rPr>
              <w:t>18. Durch, für, gegen, ohne, um – Akkusativ nimmt sich Raum</w:t>
            </w:r>
          </w:p>
        </w:tc>
        <w:tc>
          <w:tcPr>
            <w:tcW w:type="dxa" w:w="3213"/>
            <w:tcMar>
              <w:left w:w="80" w:type="dxa"/>
              <w:right w:w="80" w:type="dxa"/>
            </w:tcMar>
          </w:tcPr>
          <w:p>
            <w:pPr>
              <w:spacing w:before="40" w:after="40" w:line="264" w:lineRule="auto"/>
            </w:pPr>
            <w:r>
              <w:rPr>
                <w:rFonts w:ascii="Arial" w:hAnsi="Arial"/>
                <w:b w:val="0"/>
                <w:color w:val="111111"/>
                <w:sz w:val="17"/>
              </w:rPr>
              <w:t>Diese Präpositionen verlangen immer den Akkusativ.</w:t>
            </w:r>
          </w:p>
        </w:tc>
        <w:tc>
          <w:tcPr>
            <w:tcW w:type="dxa" w:w="3213"/>
            <w:tcMar>
              <w:left w:w="80" w:type="dxa"/>
              <w:right w:w="80" w:type="dxa"/>
            </w:tcMar>
          </w:tcPr>
          <w:p>
            <w:pPr>
              <w:spacing w:before="40" w:after="40" w:line="264" w:lineRule="auto"/>
            </w:pPr>
            <w:r>
              <w:rPr>
                <w:rFonts w:ascii="Arial" w:hAnsi="Arial"/>
                <w:b w:val="0"/>
                <w:color w:val="111111"/>
                <w:sz w:val="17"/>
              </w:rPr>
              <w:t>Er läuft durch den Park. Das Geschenk ist für dich.</w:t>
            </w:r>
          </w:p>
        </w:tc>
      </w:tr>
      <w:tr>
        <w:tc>
          <w:tcPr>
            <w:tcW w:type="dxa" w:w="3213"/>
            <w:tcMar>
              <w:left w:w="80" w:type="dxa"/>
              <w:right w:w="80" w:type="dxa"/>
            </w:tcMar>
          </w:tcPr>
          <w:p>
            <w:pPr>
              <w:spacing w:before="40" w:after="40" w:line="264" w:lineRule="auto"/>
            </w:pPr>
            <w:r>
              <w:rPr>
                <w:rFonts w:ascii="Arial" w:hAnsi="Arial"/>
                <w:b w:val="0"/>
                <w:color w:val="111111"/>
                <w:sz w:val="17"/>
              </w:rPr>
              <w:t>19. Wo bleibt, wohin geht – Wechselpräpositionen</w:t>
            </w:r>
          </w:p>
        </w:tc>
        <w:tc>
          <w:tcPr>
            <w:tcW w:type="dxa" w:w="3213"/>
            <w:tcMar>
              <w:left w:w="80" w:type="dxa"/>
              <w:right w:w="80" w:type="dxa"/>
            </w:tcMar>
          </w:tcPr>
          <w:p>
            <w:pPr>
              <w:spacing w:before="40" w:after="40" w:line="264" w:lineRule="auto"/>
            </w:pPr>
            <w:r>
              <w:rPr>
                <w:rFonts w:ascii="Arial" w:hAnsi="Arial"/>
                <w:b w:val="0"/>
                <w:color w:val="111111"/>
                <w:sz w:val="17"/>
              </w:rPr>
              <w:t>An, auf, hinter, in, neben, über, unter, vor, zwischen stehen mit Dativ bei Ruhe (wo?) und mit Akkusativ bei Bewegung (wohin?).</w:t>
            </w:r>
          </w:p>
        </w:tc>
        <w:tc>
          <w:tcPr>
            <w:tcW w:type="dxa" w:w="3213"/>
            <w:tcMar>
              <w:left w:w="80" w:type="dxa"/>
              <w:right w:w="80" w:type="dxa"/>
            </w:tcMar>
          </w:tcPr>
          <w:p>
            <w:pPr>
              <w:spacing w:before="40" w:after="40" w:line="264" w:lineRule="auto"/>
            </w:pPr>
            <w:r>
              <w:rPr>
                <w:rFonts w:ascii="Arial" w:hAnsi="Arial"/>
                <w:b w:val="0"/>
                <w:color w:val="111111"/>
                <w:sz w:val="17"/>
              </w:rPr>
              <w:t>Das Buch liegt auf dem Tisch (wo?). Sie legt es auf den Tisch (wohin?).</w:t>
            </w:r>
          </w:p>
        </w:tc>
      </w:tr>
      <w:tr>
        <w:tc>
          <w:tcPr>
            <w:tcW w:type="dxa" w:w="3213"/>
            <w:tcMar>
              <w:left w:w="80" w:type="dxa"/>
              <w:right w:w="80" w:type="dxa"/>
            </w:tcMar>
          </w:tcPr>
          <w:p>
            <w:pPr>
              <w:spacing w:before="40" w:after="40" w:line="264" w:lineRule="auto"/>
            </w:pPr>
            <w:r>
              <w:rPr>
                <w:rFonts w:ascii="Arial" w:hAnsi="Arial"/>
                <w:b w:val="0"/>
                <w:color w:val="111111"/>
                <w:sz w:val="17"/>
              </w:rPr>
              <w:t>20. Der Dativ ist dem Genitiv sein Tod (Warnung, kein Vorbild)</w:t>
            </w:r>
          </w:p>
        </w:tc>
        <w:tc>
          <w:tcPr>
            <w:tcW w:type="dxa" w:w="3213"/>
            <w:tcMar>
              <w:left w:w="80" w:type="dxa"/>
              <w:right w:w="80" w:type="dxa"/>
            </w:tcMar>
          </w:tcPr>
          <w:p>
            <w:pPr>
              <w:spacing w:before="40" w:after="40" w:line="264" w:lineRule="auto"/>
            </w:pPr>
            <w:r>
              <w:rPr>
                <w:rFonts w:ascii="Arial" w:hAnsi="Arial"/>
                <w:b w:val="0"/>
                <w:color w:val="111111"/>
                <w:sz w:val="17"/>
              </w:rPr>
              <w:t>Der Buchtitel warnt scherzhaft davor, den Genitiv durch einen umgangssprachlichen Dativ mit „sein“ zu ersetzen.</w:t>
            </w:r>
          </w:p>
        </w:tc>
        <w:tc>
          <w:tcPr>
            <w:tcW w:type="dxa" w:w="3213"/>
            <w:tcMar>
              <w:left w:w="80" w:type="dxa"/>
              <w:right w:w="80" w:type="dxa"/>
            </w:tcMar>
          </w:tcPr>
          <w:p>
            <w:pPr>
              <w:spacing w:before="40" w:after="40" w:line="264" w:lineRule="auto"/>
            </w:pPr>
            <w:r>
              <w:rPr>
                <w:rFonts w:ascii="Arial" w:hAnsi="Arial"/>
                <w:b w:val="0"/>
                <w:color w:val="111111"/>
                <w:sz w:val="17"/>
              </w:rPr>
              <w:t>Richtig: das Auto des Mannes. Umgangssprachlich, nicht korrekt: dem Mann sein Auto.</w:t>
            </w:r>
          </w:p>
        </w:tc>
      </w:tr>
      <w:tr>
        <w:tc>
          <w:tcPr>
            <w:tcW w:type="dxa" w:w="3213"/>
            <w:tcMar>
              <w:left w:w="80" w:type="dxa"/>
              <w:right w:w="80" w:type="dxa"/>
            </w:tcMar>
          </w:tcPr>
          <w:p>
            <w:pPr>
              <w:spacing w:before="40" w:after="40" w:line="264" w:lineRule="auto"/>
            </w:pPr>
            <w:r>
              <w:rPr>
                <w:rFonts w:ascii="Arial" w:hAnsi="Arial"/>
                <w:b w:val="0"/>
                <w:color w:val="111111"/>
                <w:sz w:val="17"/>
              </w:rPr>
              <w:t>21. Würde, hätte, wäre – Konjunktiv II für Irreales</w:t>
            </w:r>
          </w:p>
        </w:tc>
        <w:tc>
          <w:tcPr>
            <w:tcW w:type="dxa" w:w="3213"/>
            <w:tcMar>
              <w:left w:w="80" w:type="dxa"/>
              <w:right w:w="80" w:type="dxa"/>
            </w:tcMar>
          </w:tcPr>
          <w:p>
            <w:pPr>
              <w:spacing w:before="40" w:after="40" w:line="264" w:lineRule="auto"/>
            </w:pPr>
            <w:r>
              <w:rPr>
                <w:rFonts w:ascii="Arial" w:hAnsi="Arial"/>
                <w:b w:val="0"/>
                <w:color w:val="111111"/>
                <w:sz w:val="17"/>
              </w:rPr>
              <w:t>Der Konjunktiv II drückt Wünsche, Höflichkeit und Unwirkliches aus, oft mit „würde“ gebildet.</w:t>
            </w:r>
          </w:p>
        </w:tc>
        <w:tc>
          <w:tcPr>
            <w:tcW w:type="dxa" w:w="3213"/>
            <w:tcMar>
              <w:left w:w="80" w:type="dxa"/>
              <w:right w:w="80" w:type="dxa"/>
            </w:tcMar>
          </w:tcPr>
          <w:p>
            <w:pPr>
              <w:spacing w:before="40" w:after="40" w:line="264" w:lineRule="auto"/>
            </w:pPr>
            <w:r>
              <w:rPr>
                <w:rFonts w:ascii="Arial" w:hAnsi="Arial"/>
                <w:b w:val="0"/>
                <w:color w:val="111111"/>
                <w:sz w:val="17"/>
              </w:rPr>
              <w:t>Wenn ich Zeit hätte, würde ich kommen.</w:t>
            </w:r>
          </w:p>
        </w:tc>
      </w:tr>
      <w:tr>
        <w:tc>
          <w:tcPr>
            <w:tcW w:type="dxa" w:w="3213"/>
            <w:tcMar>
              <w:left w:w="80" w:type="dxa"/>
              <w:right w:w="80" w:type="dxa"/>
            </w:tcMar>
          </w:tcPr>
          <w:p>
            <w:pPr>
              <w:spacing w:before="40" w:after="40" w:line="264" w:lineRule="auto"/>
            </w:pPr>
            <w:r>
              <w:rPr>
                <w:rFonts w:ascii="Arial" w:hAnsi="Arial"/>
                <w:b w:val="0"/>
                <w:color w:val="111111"/>
                <w:sz w:val="17"/>
              </w:rPr>
              <w:t>22. Er sagt, er sei krank – Konjunktiv I für fremde Rede</w:t>
            </w:r>
          </w:p>
        </w:tc>
        <w:tc>
          <w:tcPr>
            <w:tcW w:type="dxa" w:w="3213"/>
            <w:tcMar>
              <w:left w:w="80" w:type="dxa"/>
              <w:right w:w="80" w:type="dxa"/>
            </w:tcMar>
          </w:tcPr>
          <w:p>
            <w:pPr>
              <w:spacing w:before="40" w:after="40" w:line="264" w:lineRule="auto"/>
            </w:pPr>
            <w:r>
              <w:rPr>
                <w:rFonts w:ascii="Arial" w:hAnsi="Arial"/>
                <w:b w:val="0"/>
                <w:color w:val="111111"/>
                <w:sz w:val="17"/>
              </w:rPr>
              <w:t>Der Konjunktiv I markiert die indirekte Rede, ohne Zustimmung des Sprechers auszudrücken.</w:t>
            </w:r>
          </w:p>
        </w:tc>
        <w:tc>
          <w:tcPr>
            <w:tcW w:type="dxa" w:w="3213"/>
            <w:tcMar>
              <w:left w:w="80" w:type="dxa"/>
              <w:right w:w="80" w:type="dxa"/>
            </w:tcMar>
          </w:tcPr>
          <w:p>
            <w:pPr>
              <w:spacing w:before="40" w:after="40" w:line="264" w:lineRule="auto"/>
            </w:pPr>
            <w:r>
              <w:rPr>
                <w:rFonts w:ascii="Arial" w:hAnsi="Arial"/>
                <w:b w:val="0"/>
                <w:color w:val="111111"/>
                <w:sz w:val="17"/>
              </w:rPr>
              <w:t>Sie behauptete, sie habe nichts gewusst.</w:t>
            </w:r>
          </w:p>
        </w:tc>
      </w:tr>
      <w:tr>
        <w:tc>
          <w:tcPr>
            <w:tcW w:type="dxa" w:w="3213"/>
            <w:tcMar>
              <w:left w:w="80" w:type="dxa"/>
              <w:right w:w="80" w:type="dxa"/>
            </w:tcMar>
          </w:tcPr>
          <w:p>
            <w:pPr>
              <w:spacing w:before="40" w:after="40" w:line="264" w:lineRule="auto"/>
            </w:pPr>
            <w:r>
              <w:rPr>
                <w:rFonts w:ascii="Arial" w:hAnsi="Arial"/>
                <w:b w:val="0"/>
                <w:color w:val="111111"/>
                <w:sz w:val="17"/>
              </w:rPr>
              <w:t>23. Das Partizip II braucht meist ge-</w:t>
            </w:r>
          </w:p>
        </w:tc>
        <w:tc>
          <w:tcPr>
            <w:tcW w:type="dxa" w:w="3213"/>
            <w:tcMar>
              <w:left w:w="80" w:type="dxa"/>
              <w:right w:w="80" w:type="dxa"/>
            </w:tcMar>
          </w:tcPr>
          <w:p>
            <w:pPr>
              <w:spacing w:before="40" w:after="40" w:line="264" w:lineRule="auto"/>
            </w:pPr>
            <w:r>
              <w:rPr>
                <w:rFonts w:ascii="Arial" w:hAnsi="Arial"/>
                <w:b w:val="0"/>
                <w:color w:val="111111"/>
                <w:sz w:val="17"/>
              </w:rPr>
              <w:t>Regelmäßige Verben bilden das Partizip II mit ge- und -t, unregelmäßige mit ge- und -en.</w:t>
            </w:r>
          </w:p>
        </w:tc>
        <w:tc>
          <w:tcPr>
            <w:tcW w:type="dxa" w:w="3213"/>
            <w:tcMar>
              <w:left w:w="80" w:type="dxa"/>
              <w:right w:w="80" w:type="dxa"/>
            </w:tcMar>
          </w:tcPr>
          <w:p>
            <w:pPr>
              <w:spacing w:before="40" w:after="40" w:line="264" w:lineRule="auto"/>
            </w:pPr>
            <w:r>
              <w:rPr>
                <w:rFonts w:ascii="Arial" w:hAnsi="Arial"/>
                <w:b w:val="0"/>
                <w:color w:val="111111"/>
                <w:sz w:val="17"/>
              </w:rPr>
              <w:t>gemacht, gelaufen, gesehen; aber: studiert, telefoniert (bei Verben auf -ieren ohne ge-).</w:t>
            </w:r>
          </w:p>
        </w:tc>
      </w:tr>
      <w:tr>
        <w:tc>
          <w:tcPr>
            <w:tcW w:type="dxa" w:w="3213"/>
            <w:tcMar>
              <w:left w:w="80" w:type="dxa"/>
              <w:right w:w="80" w:type="dxa"/>
            </w:tcMar>
          </w:tcPr>
          <w:p>
            <w:pPr>
              <w:spacing w:before="40" w:after="40" w:line="264" w:lineRule="auto"/>
            </w:pPr>
            <w:r>
              <w:rPr>
                <w:rFonts w:ascii="Arial" w:hAnsi="Arial"/>
                <w:b w:val="0"/>
                <w:color w:val="111111"/>
                <w:sz w:val="17"/>
              </w:rPr>
              <w:t>24. Haben oder sein? Bewegung und Zustand nehmen sein</w:t>
            </w:r>
          </w:p>
        </w:tc>
        <w:tc>
          <w:tcPr>
            <w:tcW w:type="dxa" w:w="3213"/>
            <w:tcMar>
              <w:left w:w="80" w:type="dxa"/>
              <w:right w:w="80" w:type="dxa"/>
            </w:tcMar>
          </w:tcPr>
          <w:p>
            <w:pPr>
              <w:spacing w:before="40" w:after="40" w:line="264" w:lineRule="auto"/>
            </w:pPr>
            <w:r>
              <w:rPr>
                <w:rFonts w:ascii="Arial" w:hAnsi="Arial"/>
                <w:b w:val="0"/>
                <w:color w:val="111111"/>
                <w:sz w:val="17"/>
              </w:rPr>
              <w:t>Verben, die eine Ortsveränderung oder Zustandsänderung ausdrücken, bilden das Perfekt meist mit „sein“.</w:t>
            </w:r>
          </w:p>
        </w:tc>
        <w:tc>
          <w:tcPr>
            <w:tcW w:type="dxa" w:w="3213"/>
            <w:tcMar>
              <w:left w:w="80" w:type="dxa"/>
              <w:right w:w="80" w:type="dxa"/>
            </w:tcMar>
          </w:tcPr>
          <w:p>
            <w:pPr>
              <w:spacing w:before="40" w:after="40" w:line="264" w:lineRule="auto"/>
            </w:pPr>
            <w:r>
              <w:rPr>
                <w:rFonts w:ascii="Arial" w:hAnsi="Arial"/>
                <w:b w:val="0"/>
                <w:color w:val="111111"/>
                <w:sz w:val="17"/>
              </w:rPr>
              <w:t>Ich bin gelaufen. Er ist eingeschlafen.</w:t>
            </w:r>
          </w:p>
        </w:tc>
      </w:tr>
      <w:tr>
        <w:tc>
          <w:tcPr>
            <w:tcW w:type="dxa" w:w="3213"/>
            <w:tcMar>
              <w:left w:w="80" w:type="dxa"/>
              <w:right w:w="80" w:type="dxa"/>
            </w:tcMar>
          </w:tcPr>
          <w:p>
            <w:pPr>
              <w:spacing w:before="40" w:after="40" w:line="264" w:lineRule="auto"/>
            </w:pPr>
            <w:r>
              <w:rPr>
                <w:rFonts w:ascii="Arial" w:hAnsi="Arial"/>
                <w:b w:val="0"/>
                <w:color w:val="111111"/>
                <w:sz w:val="17"/>
              </w:rPr>
              <w:t>25. Adjektive vor Nomen werden dekliniert</w:t>
            </w:r>
          </w:p>
        </w:tc>
        <w:tc>
          <w:tcPr>
            <w:tcW w:type="dxa" w:w="3213"/>
            <w:tcMar>
              <w:left w:w="80" w:type="dxa"/>
              <w:right w:w="80" w:type="dxa"/>
            </w:tcMar>
          </w:tcPr>
          <w:p>
            <w:pPr>
              <w:spacing w:before="40" w:after="40" w:line="264" w:lineRule="auto"/>
            </w:pPr>
            <w:r>
              <w:rPr>
                <w:rFonts w:ascii="Arial" w:hAnsi="Arial"/>
                <w:b w:val="0"/>
                <w:color w:val="111111"/>
                <w:sz w:val="17"/>
              </w:rPr>
              <w:t>Ein Adjektiv vor einem Substantiv passt sich in Fall, Zahl und Geschlecht an, allein stehend nicht.</w:t>
            </w:r>
          </w:p>
        </w:tc>
        <w:tc>
          <w:tcPr>
            <w:tcW w:type="dxa" w:w="3213"/>
            <w:tcMar>
              <w:left w:w="80" w:type="dxa"/>
              <w:right w:w="80" w:type="dxa"/>
            </w:tcMar>
          </w:tcPr>
          <w:p>
            <w:pPr>
              <w:spacing w:before="40" w:after="40" w:line="264" w:lineRule="auto"/>
            </w:pPr>
            <w:r>
              <w:rPr>
                <w:rFonts w:ascii="Arial" w:hAnsi="Arial"/>
                <w:b w:val="0"/>
                <w:color w:val="111111"/>
                <w:sz w:val="17"/>
              </w:rPr>
              <w:t>der schnelle Wagen, aber: der Wagen ist schnell.</w:t>
            </w:r>
          </w:p>
        </w:tc>
      </w:tr>
      <w:tr>
        <w:tc>
          <w:tcPr>
            <w:tcW w:type="dxa" w:w="3213"/>
            <w:tcMar>
              <w:left w:w="80" w:type="dxa"/>
              <w:right w:w="80" w:type="dxa"/>
            </w:tcMar>
          </w:tcPr>
          <w:p>
            <w:pPr>
              <w:spacing w:before="40" w:after="40" w:line="264" w:lineRule="auto"/>
            </w:pPr>
            <w:r>
              <w:rPr>
                <w:rFonts w:ascii="Arial" w:hAnsi="Arial"/>
                <w:b w:val="0"/>
                <w:color w:val="111111"/>
                <w:sz w:val="17"/>
              </w:rPr>
              <w:t>26. Trennbare Verben trennen sich im Hauptsatz</w:t>
            </w:r>
          </w:p>
        </w:tc>
        <w:tc>
          <w:tcPr>
            <w:tcW w:type="dxa" w:w="3213"/>
            <w:tcMar>
              <w:left w:w="80" w:type="dxa"/>
              <w:right w:w="80" w:type="dxa"/>
            </w:tcMar>
          </w:tcPr>
          <w:p>
            <w:pPr>
              <w:spacing w:before="40" w:after="40" w:line="264" w:lineRule="auto"/>
            </w:pPr>
            <w:r>
              <w:rPr>
                <w:rFonts w:ascii="Arial" w:hAnsi="Arial"/>
                <w:b w:val="0"/>
                <w:color w:val="111111"/>
                <w:sz w:val="17"/>
              </w:rPr>
              <w:t>Bei trennbaren Verben wandert die Vorsilbe im Hauptsatz ans Satzende.</w:t>
            </w:r>
          </w:p>
        </w:tc>
        <w:tc>
          <w:tcPr>
            <w:tcW w:type="dxa" w:w="3213"/>
            <w:tcMar>
              <w:left w:w="80" w:type="dxa"/>
              <w:right w:w="80" w:type="dxa"/>
            </w:tcMar>
          </w:tcPr>
          <w:p>
            <w:pPr>
              <w:spacing w:before="40" w:after="40" w:line="264" w:lineRule="auto"/>
            </w:pPr>
            <w:r>
              <w:rPr>
                <w:rFonts w:ascii="Arial" w:hAnsi="Arial"/>
                <w:b w:val="0"/>
                <w:color w:val="111111"/>
                <w:sz w:val="17"/>
              </w:rPr>
              <w:t>Ich stehe früh auf. Aber: weil ich früh aufstehe.</w:t>
            </w:r>
          </w:p>
        </w:tc>
      </w:tr>
      <w:tr>
        <w:tc>
          <w:tcPr>
            <w:tcW w:type="dxa" w:w="3213"/>
            <w:tcMar>
              <w:left w:w="80" w:type="dxa"/>
              <w:right w:w="80" w:type="dxa"/>
            </w:tcMar>
          </w:tcPr>
          <w:p>
            <w:pPr>
              <w:spacing w:before="40" w:after="40" w:line="264" w:lineRule="auto"/>
            </w:pPr>
            <w:r>
              <w:rPr>
                <w:rFonts w:ascii="Arial" w:hAnsi="Arial"/>
                <w:b w:val="0"/>
                <w:color w:val="111111"/>
                <w:sz w:val="17"/>
              </w:rPr>
              <w:t>27. Reflexivpronomen passt sich der Person an</w:t>
            </w:r>
          </w:p>
        </w:tc>
        <w:tc>
          <w:tcPr>
            <w:tcW w:type="dxa" w:w="3213"/>
            <w:tcMar>
              <w:left w:w="80" w:type="dxa"/>
              <w:right w:w="80" w:type="dxa"/>
            </w:tcMar>
          </w:tcPr>
          <w:p>
            <w:pPr>
              <w:spacing w:before="40" w:after="40" w:line="264" w:lineRule="auto"/>
            </w:pPr>
            <w:r>
              <w:rPr>
                <w:rFonts w:ascii="Arial" w:hAnsi="Arial"/>
                <w:b w:val="0"/>
                <w:color w:val="111111"/>
                <w:sz w:val="17"/>
              </w:rPr>
              <w:t>„Mich, dich, sich, uns, euch, sich“ richten sich nach dem Subjekt des Satzes.</w:t>
            </w:r>
          </w:p>
        </w:tc>
        <w:tc>
          <w:tcPr>
            <w:tcW w:type="dxa" w:w="3213"/>
            <w:tcMar>
              <w:left w:w="80" w:type="dxa"/>
              <w:right w:w="80" w:type="dxa"/>
            </w:tcMar>
          </w:tcPr>
          <w:p>
            <w:pPr>
              <w:spacing w:before="40" w:after="40" w:line="264" w:lineRule="auto"/>
            </w:pPr>
            <w:r>
              <w:rPr>
                <w:rFonts w:ascii="Arial" w:hAnsi="Arial"/>
                <w:b w:val="0"/>
                <w:color w:val="111111"/>
                <w:sz w:val="17"/>
              </w:rPr>
              <w:t>Ich freue mich. Du freust dich. Sie freut sich.</w:t>
            </w:r>
          </w:p>
        </w:tc>
      </w:tr>
      <w:tr>
        <w:tc>
          <w:tcPr>
            <w:tcW w:type="dxa" w:w="3213"/>
            <w:tcMar>
              <w:left w:w="80" w:type="dxa"/>
              <w:right w:w="80" w:type="dxa"/>
            </w:tcMar>
          </w:tcPr>
          <w:p>
            <w:pPr>
              <w:spacing w:before="40" w:after="40" w:line="264" w:lineRule="auto"/>
            </w:pPr>
            <w:r>
              <w:rPr>
                <w:rFonts w:ascii="Arial" w:hAnsi="Arial"/>
                <w:b w:val="0"/>
                <w:color w:val="111111"/>
                <w:sz w:val="17"/>
              </w:rPr>
              <w:t>28. Steigerung: gut, besser, am besten</w:t>
            </w:r>
          </w:p>
        </w:tc>
        <w:tc>
          <w:tcPr>
            <w:tcW w:type="dxa" w:w="3213"/>
            <w:tcMar>
              <w:left w:w="80" w:type="dxa"/>
              <w:right w:w="80" w:type="dxa"/>
            </w:tcMar>
          </w:tcPr>
          <w:p>
            <w:pPr>
              <w:spacing w:before="40" w:after="40" w:line="264" w:lineRule="auto"/>
            </w:pPr>
            <w:r>
              <w:rPr>
                <w:rFonts w:ascii="Arial" w:hAnsi="Arial"/>
                <w:b w:val="0"/>
                <w:color w:val="111111"/>
                <w:sz w:val="17"/>
              </w:rPr>
              <w:t>Manche Adjektive steigern unregelmäßig, sie folgen keiner Endungsregel.</w:t>
            </w:r>
          </w:p>
        </w:tc>
        <w:tc>
          <w:tcPr>
            <w:tcW w:type="dxa" w:w="3213"/>
            <w:tcMar>
              <w:left w:w="80" w:type="dxa"/>
              <w:right w:w="80" w:type="dxa"/>
            </w:tcMar>
          </w:tcPr>
          <w:p>
            <w:pPr>
              <w:spacing w:before="40" w:after="40" w:line="264" w:lineRule="auto"/>
            </w:pPr>
            <w:r>
              <w:rPr>
                <w:rFonts w:ascii="Arial" w:hAnsi="Arial"/>
                <w:b w:val="0"/>
                <w:color w:val="111111"/>
                <w:sz w:val="17"/>
              </w:rPr>
              <w:t>gut – besser – am besten; viel – mehr – am meisten.</w:t>
            </w:r>
          </w:p>
        </w:tc>
      </w:tr>
      <w:tr>
        <w:tc>
          <w:tcPr>
            <w:tcW w:type="dxa" w:w="3213"/>
            <w:tcMar>
              <w:left w:w="80" w:type="dxa"/>
              <w:right w:w="80" w:type="dxa"/>
            </w:tcMar>
          </w:tcPr>
          <w:p>
            <w:pPr>
              <w:spacing w:before="40" w:after="40" w:line="264" w:lineRule="auto"/>
            </w:pPr>
            <w:r>
              <w:rPr>
                <w:rFonts w:ascii="Arial" w:hAnsi="Arial"/>
                <w:b w:val="0"/>
                <w:color w:val="111111"/>
                <w:sz w:val="17"/>
              </w:rPr>
              <w:t>29. Konjunktionen wie „weil“ schicken das Verb ans Ende</w:t>
            </w:r>
          </w:p>
        </w:tc>
        <w:tc>
          <w:tcPr>
            <w:tcW w:type="dxa" w:w="3213"/>
            <w:tcMar>
              <w:left w:w="80" w:type="dxa"/>
              <w:right w:w="80" w:type="dxa"/>
            </w:tcMar>
          </w:tcPr>
          <w:p>
            <w:pPr>
              <w:spacing w:before="40" w:after="40" w:line="264" w:lineRule="auto"/>
            </w:pPr>
            <w:r>
              <w:rPr>
                <w:rFonts w:ascii="Arial" w:hAnsi="Arial"/>
                <w:b w:val="0"/>
                <w:color w:val="111111"/>
                <w:sz w:val="17"/>
              </w:rPr>
              <w:t>Nebensätze mit „weil, dass, obwohl, wenn“ stellen das gebeugte Verb an den Schluss.</w:t>
            </w:r>
          </w:p>
        </w:tc>
        <w:tc>
          <w:tcPr>
            <w:tcW w:type="dxa" w:w="3213"/>
            <w:tcMar>
              <w:left w:w="80" w:type="dxa"/>
              <w:right w:w="80" w:type="dxa"/>
            </w:tcMar>
          </w:tcPr>
          <w:p>
            <w:pPr>
              <w:spacing w:before="40" w:after="40" w:line="264" w:lineRule="auto"/>
            </w:pPr>
            <w:r>
              <w:rPr>
                <w:rFonts w:ascii="Arial" w:hAnsi="Arial"/>
                <w:b w:val="0"/>
                <w:color w:val="111111"/>
                <w:sz w:val="17"/>
              </w:rPr>
              <w:t>Ich bleibe zu Hause, weil es regnet.</w:t>
            </w:r>
          </w:p>
        </w:tc>
      </w:tr>
      <w:tr>
        <w:tc>
          <w:tcPr>
            <w:tcW w:type="dxa" w:w="3213"/>
            <w:tcMar>
              <w:left w:w="80" w:type="dxa"/>
              <w:right w:w="80" w:type="dxa"/>
            </w:tcMar>
          </w:tcPr>
          <w:p>
            <w:pPr>
              <w:spacing w:before="40" w:after="40" w:line="264" w:lineRule="auto"/>
            </w:pPr>
            <w:r>
              <w:rPr>
                <w:rFonts w:ascii="Arial" w:hAnsi="Arial"/>
                <w:b w:val="0"/>
                <w:color w:val="111111"/>
                <w:sz w:val="17"/>
              </w:rPr>
              <w:t>30. Das Verb steht in Hauptsätzen an Position zwei</w:t>
            </w:r>
          </w:p>
        </w:tc>
        <w:tc>
          <w:tcPr>
            <w:tcW w:type="dxa" w:w="3213"/>
            <w:tcMar>
              <w:left w:w="80" w:type="dxa"/>
              <w:right w:w="80" w:type="dxa"/>
            </w:tcMar>
          </w:tcPr>
          <w:p>
            <w:pPr>
              <w:spacing w:before="40" w:after="40" w:line="264" w:lineRule="auto"/>
            </w:pPr>
            <w:r>
              <w:rPr>
                <w:rFonts w:ascii="Arial" w:hAnsi="Arial"/>
                <w:b w:val="0"/>
                <w:color w:val="111111"/>
                <w:sz w:val="17"/>
              </w:rPr>
              <w:t>In deutschen Aussagesätzen steht das gebeugte Verb immer an zweiter Stelle, unabhängig davon, was davorsteht.</w:t>
            </w:r>
          </w:p>
        </w:tc>
        <w:tc>
          <w:tcPr>
            <w:tcW w:type="dxa" w:w="3213"/>
            <w:tcMar>
              <w:left w:w="80" w:type="dxa"/>
              <w:right w:w="80" w:type="dxa"/>
            </w:tcMar>
          </w:tcPr>
          <w:p>
            <w:pPr>
              <w:spacing w:before="40" w:after="40" w:line="264" w:lineRule="auto"/>
            </w:pPr>
            <w:r>
              <w:rPr>
                <w:rFonts w:ascii="Arial" w:hAnsi="Arial"/>
                <w:b w:val="0"/>
                <w:color w:val="111111"/>
                <w:sz w:val="17"/>
              </w:rPr>
              <w:t>Heute regnet es. Es regnet heute.</w:t>
            </w:r>
          </w:p>
        </w:tc>
      </w:tr>
    </w:tbl>
    <w:p>
      <w:pPr>
        <w:spacing w:before="0" w:after="120" w:line="276" w:lineRule="auto"/>
      </w:pPr>
    </w:p>
    <w:p>
      <w:r>
        <w:br w:type="page"/>
      </w:r>
    </w:p>
    <w:p>
      <w:pPr>
        <w:spacing w:before="280" w:after="120" w:line="276" w:lineRule="auto"/>
      </w:pPr>
      <w:r>
        <w:rPr>
          <w:rFonts w:ascii="Arial" w:hAnsi="Arial"/>
          <w:b/>
          <w:i w:val="0"/>
          <w:color w:val="111111"/>
          <w:sz w:val="24"/>
        </w:rPr>
        <w:t>Zeichensetzung</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3213"/>
        <w:gridCol w:w="3213"/>
      </w:tblGrid>
      <w:tr>
        <w:tc>
          <w:tcPr>
            <w:tcW w:type="dxa" w:w="3213"/>
            <w:shd w:val="clear" w:color="auto" w:fill="F2F8F4"/>
            <w:tcMar>
              <w:left w:w="80" w:type="dxa"/>
              <w:right w:w="80" w:type="dxa"/>
            </w:tcMar>
          </w:tcPr>
          <w:p>
            <w:pPr>
              <w:spacing w:before="40" w:after="40" w:line="264" w:lineRule="auto"/>
            </w:pPr>
            <w:r>
              <w:rPr>
                <w:rFonts w:ascii="Arial" w:hAnsi="Arial"/>
                <w:b/>
                <w:color w:val="006B46"/>
                <w:sz w:val="15"/>
              </w:rPr>
              <w:t>Merksatz</w:t>
            </w:r>
          </w:p>
        </w:tc>
        <w:tc>
          <w:tcPr>
            <w:tcW w:type="dxa" w:w="3213"/>
            <w:shd w:val="clear" w:color="auto" w:fill="F2F8F4"/>
            <w:tcMar>
              <w:left w:w="80" w:type="dxa"/>
              <w:right w:w="80" w:type="dxa"/>
            </w:tcMar>
          </w:tcPr>
          <w:p>
            <w:pPr>
              <w:spacing w:before="40" w:after="40" w:line="264" w:lineRule="auto"/>
            </w:pPr>
            <w:r>
              <w:rPr>
                <w:rFonts w:ascii="Arial" w:hAnsi="Arial"/>
                <w:b/>
                <w:color w:val="006B46"/>
                <w:sz w:val="15"/>
              </w:rPr>
              <w:t>Regel</w:t>
            </w:r>
          </w:p>
        </w:tc>
        <w:tc>
          <w:tcPr>
            <w:tcW w:type="dxa" w:w="3213"/>
            <w:shd w:val="clear" w:color="auto" w:fill="F2F8F4"/>
            <w:tcMar>
              <w:left w:w="80" w:type="dxa"/>
              <w:right w:w="80" w:type="dxa"/>
            </w:tcMar>
          </w:tcPr>
          <w:p>
            <w:pPr>
              <w:spacing w:before="40" w:after="40" w:line="264" w:lineRule="auto"/>
            </w:pPr>
            <w:r>
              <w:rPr>
                <w:rFonts w:ascii="Arial" w:hAnsi="Arial"/>
                <w:b/>
                <w:color w:val="006B46"/>
                <w:sz w:val="15"/>
              </w:rPr>
              <w:t>Beispiel</w:t>
            </w:r>
          </w:p>
        </w:tc>
      </w:tr>
      <w:tr>
        <w:tc>
          <w:tcPr>
            <w:tcW w:type="dxa" w:w="3213"/>
            <w:tcMar>
              <w:left w:w="80" w:type="dxa"/>
              <w:right w:w="80" w:type="dxa"/>
            </w:tcMar>
          </w:tcPr>
          <w:p>
            <w:pPr>
              <w:spacing w:before="40" w:after="40" w:line="264" w:lineRule="auto"/>
            </w:pPr>
            <w:r>
              <w:rPr>
                <w:rFonts w:ascii="Arial" w:hAnsi="Arial"/>
                <w:b w:val="0"/>
                <w:color w:val="111111"/>
                <w:sz w:val="15"/>
              </w:rPr>
              <w:t>31. Finde das zweite Verb, finde das Komma</w:t>
            </w:r>
          </w:p>
        </w:tc>
        <w:tc>
          <w:tcPr>
            <w:tcW w:type="dxa" w:w="3213"/>
            <w:tcMar>
              <w:left w:w="80" w:type="dxa"/>
              <w:right w:w="80" w:type="dxa"/>
            </w:tcMar>
          </w:tcPr>
          <w:p>
            <w:pPr>
              <w:spacing w:before="40" w:after="40" w:line="264" w:lineRule="auto"/>
            </w:pPr>
            <w:r>
              <w:rPr>
                <w:rFonts w:ascii="Arial" w:hAnsi="Arial"/>
                <w:b w:val="0"/>
                <w:color w:val="111111"/>
                <w:sz w:val="15"/>
              </w:rPr>
              <w:t>Ein zweites gebeugtes Verb zeigt einen zweiten Satzteil an, dazwischen steht fast immer ein Komma.</w:t>
            </w:r>
          </w:p>
        </w:tc>
        <w:tc>
          <w:tcPr>
            <w:tcW w:type="dxa" w:w="3213"/>
            <w:tcMar>
              <w:left w:w="80" w:type="dxa"/>
              <w:right w:w="80" w:type="dxa"/>
            </w:tcMar>
          </w:tcPr>
          <w:p>
            <w:pPr>
              <w:spacing w:before="40" w:after="40" w:line="264" w:lineRule="auto"/>
            </w:pPr>
            <w:r>
              <w:rPr>
                <w:rFonts w:ascii="Arial" w:hAnsi="Arial"/>
                <w:b w:val="0"/>
                <w:color w:val="111111"/>
                <w:sz w:val="15"/>
              </w:rPr>
              <w:t>Ich weiß, dass du kommst.</w:t>
            </w:r>
          </w:p>
        </w:tc>
      </w:tr>
      <w:tr>
        <w:tc>
          <w:tcPr>
            <w:tcW w:type="dxa" w:w="3213"/>
            <w:tcMar>
              <w:left w:w="80" w:type="dxa"/>
              <w:right w:w="80" w:type="dxa"/>
            </w:tcMar>
          </w:tcPr>
          <w:p>
            <w:pPr>
              <w:spacing w:before="40" w:after="40" w:line="264" w:lineRule="auto"/>
            </w:pPr>
            <w:r>
              <w:rPr>
                <w:rFonts w:ascii="Arial" w:hAnsi="Arial"/>
                <w:b w:val="0"/>
                <w:color w:val="111111"/>
                <w:sz w:val="15"/>
              </w:rPr>
              <w:t>32. Nebensätze klammert man vorn und hinten ein</w:t>
            </w:r>
          </w:p>
        </w:tc>
        <w:tc>
          <w:tcPr>
            <w:tcW w:type="dxa" w:w="3213"/>
            <w:tcMar>
              <w:left w:w="80" w:type="dxa"/>
              <w:right w:w="80" w:type="dxa"/>
            </w:tcMar>
          </w:tcPr>
          <w:p>
            <w:pPr>
              <w:spacing w:before="40" w:after="40" w:line="264" w:lineRule="auto"/>
            </w:pPr>
            <w:r>
              <w:rPr>
                <w:rFonts w:ascii="Arial" w:hAnsi="Arial"/>
                <w:b w:val="0"/>
                <w:color w:val="111111"/>
                <w:sz w:val="15"/>
              </w:rPr>
              <w:t>Ein eingeschobener Nebensatz braucht ein Komma davor und eins danach.</w:t>
            </w:r>
          </w:p>
        </w:tc>
        <w:tc>
          <w:tcPr>
            <w:tcW w:type="dxa" w:w="3213"/>
            <w:tcMar>
              <w:left w:w="80" w:type="dxa"/>
              <w:right w:w="80" w:type="dxa"/>
            </w:tcMar>
          </w:tcPr>
          <w:p>
            <w:pPr>
              <w:spacing w:before="40" w:after="40" w:line="264" w:lineRule="auto"/>
            </w:pPr>
            <w:r>
              <w:rPr>
                <w:rFonts w:ascii="Arial" w:hAnsi="Arial"/>
                <w:b w:val="0"/>
                <w:color w:val="111111"/>
                <w:sz w:val="15"/>
              </w:rPr>
              <w:t>Der Vertrag, den wir unterschrieben haben, gilt ab Mai.</w:t>
            </w:r>
          </w:p>
        </w:tc>
      </w:tr>
      <w:tr>
        <w:tc>
          <w:tcPr>
            <w:tcW w:type="dxa" w:w="3213"/>
            <w:tcMar>
              <w:left w:w="80" w:type="dxa"/>
              <w:right w:w="80" w:type="dxa"/>
            </w:tcMar>
          </w:tcPr>
          <w:p>
            <w:pPr>
              <w:spacing w:before="40" w:after="40" w:line="264" w:lineRule="auto"/>
            </w:pPr>
            <w:r>
              <w:rPr>
                <w:rFonts w:ascii="Arial" w:hAnsi="Arial"/>
                <w:b w:val="0"/>
                <w:color w:val="111111"/>
                <w:sz w:val="15"/>
              </w:rPr>
              <w:t>33. Und, oder trennen Sätze ohne Komma-Pflicht</w:t>
            </w:r>
          </w:p>
        </w:tc>
        <w:tc>
          <w:tcPr>
            <w:tcW w:type="dxa" w:w="3213"/>
            <w:tcMar>
              <w:left w:w="80" w:type="dxa"/>
              <w:right w:w="80" w:type="dxa"/>
            </w:tcMar>
          </w:tcPr>
          <w:p>
            <w:pPr>
              <w:spacing w:before="40" w:after="40" w:line="264" w:lineRule="auto"/>
            </w:pPr>
            <w:r>
              <w:rPr>
                <w:rFonts w:ascii="Arial" w:hAnsi="Arial"/>
                <w:b w:val="0"/>
                <w:color w:val="111111"/>
                <w:sz w:val="15"/>
              </w:rPr>
              <w:t>Vor „und“ und „oder“ steht zwischen zwei Hauptsätzen kein Komma, es ist aber erlaubt.</w:t>
            </w:r>
          </w:p>
        </w:tc>
        <w:tc>
          <w:tcPr>
            <w:tcW w:type="dxa" w:w="3213"/>
            <w:tcMar>
              <w:left w:w="80" w:type="dxa"/>
              <w:right w:w="80" w:type="dxa"/>
            </w:tcMar>
          </w:tcPr>
          <w:p>
            <w:pPr>
              <w:spacing w:before="40" w:after="40" w:line="264" w:lineRule="auto"/>
            </w:pPr>
            <w:r>
              <w:rPr>
                <w:rFonts w:ascii="Arial" w:hAnsi="Arial"/>
                <w:b w:val="0"/>
                <w:color w:val="111111"/>
                <w:sz w:val="15"/>
              </w:rPr>
              <w:t>Sie las den Text und er tippte weiter.</w:t>
            </w:r>
          </w:p>
        </w:tc>
      </w:tr>
      <w:tr>
        <w:tc>
          <w:tcPr>
            <w:tcW w:type="dxa" w:w="3213"/>
            <w:tcMar>
              <w:left w:w="80" w:type="dxa"/>
              <w:right w:w="80" w:type="dxa"/>
            </w:tcMar>
          </w:tcPr>
          <w:p>
            <w:pPr>
              <w:spacing w:before="40" w:after="40" w:line="264" w:lineRule="auto"/>
            </w:pPr>
            <w:r>
              <w:rPr>
                <w:rFonts w:ascii="Arial" w:hAnsi="Arial"/>
                <w:b w:val="0"/>
                <w:color w:val="111111"/>
                <w:sz w:val="15"/>
              </w:rPr>
              <w:t>34. Anrede und Ausruf bekommen ein Komma</w:t>
            </w:r>
          </w:p>
        </w:tc>
        <w:tc>
          <w:tcPr>
            <w:tcW w:type="dxa" w:w="3213"/>
            <w:tcMar>
              <w:left w:w="80" w:type="dxa"/>
              <w:right w:w="80" w:type="dxa"/>
            </w:tcMar>
          </w:tcPr>
          <w:p>
            <w:pPr>
              <w:spacing w:before="40" w:after="40" w:line="264" w:lineRule="auto"/>
            </w:pPr>
            <w:r>
              <w:rPr>
                <w:rFonts w:ascii="Arial" w:hAnsi="Arial"/>
                <w:b w:val="0"/>
                <w:color w:val="111111"/>
                <w:sz w:val="15"/>
              </w:rPr>
              <w:t>Namen in der Anrede und Ausrufe wie „ja“ oder „nein“ werden mit Komma abgetrennt.</w:t>
            </w:r>
          </w:p>
        </w:tc>
        <w:tc>
          <w:tcPr>
            <w:tcW w:type="dxa" w:w="3213"/>
            <w:tcMar>
              <w:left w:w="80" w:type="dxa"/>
              <w:right w:w="80" w:type="dxa"/>
            </w:tcMar>
          </w:tcPr>
          <w:p>
            <w:pPr>
              <w:spacing w:before="40" w:after="40" w:line="264" w:lineRule="auto"/>
            </w:pPr>
            <w:r>
              <w:rPr>
                <w:rFonts w:ascii="Arial" w:hAnsi="Arial"/>
                <w:b w:val="0"/>
                <w:color w:val="111111"/>
                <w:sz w:val="15"/>
              </w:rPr>
              <w:t>Anna, hörst du mir zu? Ja, das stimmt.</w:t>
            </w:r>
          </w:p>
        </w:tc>
      </w:tr>
    </w:tbl>
    <w:p>
      <w:pPr>
        <w:spacing w:before="0" w:after="120" w:line="276" w:lineRule="auto"/>
      </w:pPr>
    </w:p>
    <w:p>
      <w:pPr>
        <w:spacing w:before="280" w:after="120" w:line="276" w:lineRule="auto"/>
      </w:pPr>
      <w:r>
        <w:rPr>
          <w:rFonts w:ascii="Arial" w:hAnsi="Arial"/>
          <w:b/>
          <w:i w:val="0"/>
          <w:color w:val="111111"/>
          <w:sz w:val="24"/>
        </w:rPr>
        <w:t>Wörter, die man verwechselt</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3213"/>
        <w:gridCol w:w="3213"/>
      </w:tblGrid>
      <w:tr>
        <w:tc>
          <w:tcPr>
            <w:tcW w:type="dxa" w:w="3213"/>
            <w:shd w:val="clear" w:color="auto" w:fill="F2F8F4"/>
            <w:tcMar>
              <w:left w:w="80" w:type="dxa"/>
              <w:right w:w="80" w:type="dxa"/>
            </w:tcMar>
          </w:tcPr>
          <w:p>
            <w:pPr>
              <w:spacing w:before="40" w:after="40" w:line="264" w:lineRule="auto"/>
            </w:pPr>
            <w:r>
              <w:rPr>
                <w:rFonts w:ascii="Arial" w:hAnsi="Arial"/>
                <w:b/>
                <w:color w:val="006B46"/>
                <w:sz w:val="15"/>
              </w:rPr>
              <w:t>Merksatz</w:t>
            </w:r>
          </w:p>
        </w:tc>
        <w:tc>
          <w:tcPr>
            <w:tcW w:type="dxa" w:w="3213"/>
            <w:shd w:val="clear" w:color="auto" w:fill="F2F8F4"/>
            <w:tcMar>
              <w:left w:w="80" w:type="dxa"/>
              <w:right w:w="80" w:type="dxa"/>
            </w:tcMar>
          </w:tcPr>
          <w:p>
            <w:pPr>
              <w:spacing w:before="40" w:after="40" w:line="264" w:lineRule="auto"/>
            </w:pPr>
            <w:r>
              <w:rPr>
                <w:rFonts w:ascii="Arial" w:hAnsi="Arial"/>
                <w:b/>
                <w:color w:val="006B46"/>
                <w:sz w:val="15"/>
              </w:rPr>
              <w:t>Regel</w:t>
            </w:r>
          </w:p>
        </w:tc>
        <w:tc>
          <w:tcPr>
            <w:tcW w:type="dxa" w:w="3213"/>
            <w:shd w:val="clear" w:color="auto" w:fill="F2F8F4"/>
            <w:tcMar>
              <w:left w:w="80" w:type="dxa"/>
              <w:right w:w="80" w:type="dxa"/>
            </w:tcMar>
          </w:tcPr>
          <w:p>
            <w:pPr>
              <w:spacing w:before="40" w:after="40" w:line="264" w:lineRule="auto"/>
            </w:pPr>
            <w:r>
              <w:rPr>
                <w:rFonts w:ascii="Arial" w:hAnsi="Arial"/>
                <w:b/>
                <w:color w:val="006B46"/>
                <w:sz w:val="15"/>
              </w:rPr>
              <w:t>Beispiel</w:t>
            </w:r>
          </w:p>
        </w:tc>
      </w:tr>
      <w:tr>
        <w:tc>
          <w:tcPr>
            <w:tcW w:type="dxa" w:w="3213"/>
            <w:tcMar>
              <w:left w:w="80" w:type="dxa"/>
              <w:right w:w="80" w:type="dxa"/>
            </w:tcMar>
          </w:tcPr>
          <w:p>
            <w:pPr>
              <w:spacing w:before="40" w:after="40" w:line="264" w:lineRule="auto"/>
            </w:pPr>
            <w:r>
              <w:rPr>
                <w:rFonts w:ascii="Arial" w:hAnsi="Arial"/>
                <w:b w:val="0"/>
                <w:color w:val="111111"/>
                <w:sz w:val="15"/>
              </w:rPr>
              <w:t>35. Scheinbar täuscht, anscheinend vermutet</w:t>
            </w:r>
          </w:p>
        </w:tc>
        <w:tc>
          <w:tcPr>
            <w:tcW w:type="dxa" w:w="3213"/>
            <w:tcMar>
              <w:left w:w="80" w:type="dxa"/>
              <w:right w:w="80" w:type="dxa"/>
            </w:tcMar>
          </w:tcPr>
          <w:p>
            <w:pPr>
              <w:spacing w:before="40" w:after="40" w:line="264" w:lineRule="auto"/>
            </w:pPr>
            <w:r>
              <w:rPr>
                <w:rFonts w:ascii="Arial" w:hAnsi="Arial"/>
                <w:b w:val="0"/>
                <w:color w:val="111111"/>
                <w:sz w:val="15"/>
              </w:rPr>
              <w:t>„Scheinbar“ heißt: es ist nicht so, obwohl es so wirkt. „Anscheinend“ heißt: es ist vermutlich so.</w:t>
            </w:r>
          </w:p>
        </w:tc>
        <w:tc>
          <w:tcPr>
            <w:tcW w:type="dxa" w:w="3213"/>
            <w:tcMar>
              <w:left w:w="80" w:type="dxa"/>
              <w:right w:w="80" w:type="dxa"/>
            </w:tcMar>
          </w:tcPr>
          <w:p>
            <w:pPr>
              <w:spacing w:before="40" w:after="40" w:line="264" w:lineRule="auto"/>
            </w:pPr>
            <w:r>
              <w:rPr>
                <w:rFonts w:ascii="Arial" w:hAnsi="Arial"/>
                <w:b w:val="0"/>
                <w:color w:val="111111"/>
                <w:sz w:val="15"/>
              </w:rPr>
              <w:t>Er war scheinbar ruhig (war er in Wahrheit nicht). Er ist anscheinend krank (vermutlich).</w:t>
            </w:r>
          </w:p>
        </w:tc>
      </w:tr>
      <w:tr>
        <w:tc>
          <w:tcPr>
            <w:tcW w:type="dxa" w:w="3213"/>
            <w:tcMar>
              <w:left w:w="80" w:type="dxa"/>
              <w:right w:w="80" w:type="dxa"/>
            </w:tcMar>
          </w:tcPr>
          <w:p>
            <w:pPr>
              <w:spacing w:before="40" w:after="40" w:line="264" w:lineRule="auto"/>
            </w:pPr>
            <w:r>
              <w:rPr>
                <w:rFonts w:ascii="Arial" w:hAnsi="Arial"/>
                <w:b w:val="0"/>
                <w:color w:val="111111"/>
                <w:sz w:val="15"/>
              </w:rPr>
              <w:t>36. Das Gleiche ist ähnlich, dasselbe ist identisch</w:t>
            </w:r>
          </w:p>
        </w:tc>
        <w:tc>
          <w:tcPr>
            <w:tcW w:type="dxa" w:w="3213"/>
            <w:tcMar>
              <w:left w:w="80" w:type="dxa"/>
              <w:right w:w="80" w:type="dxa"/>
            </w:tcMar>
          </w:tcPr>
          <w:p>
            <w:pPr>
              <w:spacing w:before="40" w:after="40" w:line="264" w:lineRule="auto"/>
            </w:pPr>
            <w:r>
              <w:rPr>
                <w:rFonts w:ascii="Arial" w:hAnsi="Arial"/>
                <w:b w:val="0"/>
                <w:color w:val="111111"/>
                <w:sz w:val="15"/>
              </w:rPr>
              <w:t>„Das Gleiche“ meint zwei vergleichbare, aber unterschiedliche Dinge, „dasselbe“ meint ein und dasselbe Ding.</w:t>
            </w:r>
          </w:p>
        </w:tc>
        <w:tc>
          <w:tcPr>
            <w:tcW w:type="dxa" w:w="3213"/>
            <w:tcMar>
              <w:left w:w="80" w:type="dxa"/>
              <w:right w:w="80" w:type="dxa"/>
            </w:tcMar>
          </w:tcPr>
          <w:p>
            <w:pPr>
              <w:spacing w:before="40" w:after="40" w:line="264" w:lineRule="auto"/>
            </w:pPr>
            <w:r>
              <w:rPr>
                <w:rFonts w:ascii="Arial" w:hAnsi="Arial"/>
                <w:b w:val="0"/>
                <w:color w:val="111111"/>
                <w:sz w:val="15"/>
              </w:rPr>
              <w:t>Wir haben das gleiche Auto (Modell). Wir fahren dasselbe Auto (ein Fahrzeug).</w:t>
            </w:r>
          </w:p>
        </w:tc>
      </w:tr>
      <w:tr>
        <w:tc>
          <w:tcPr>
            <w:tcW w:type="dxa" w:w="3213"/>
            <w:tcMar>
              <w:left w:w="80" w:type="dxa"/>
              <w:right w:w="80" w:type="dxa"/>
            </w:tcMar>
          </w:tcPr>
          <w:p>
            <w:pPr>
              <w:spacing w:before="40" w:after="40" w:line="264" w:lineRule="auto"/>
            </w:pPr>
            <w:r>
              <w:rPr>
                <w:rFonts w:ascii="Arial" w:hAnsi="Arial"/>
                <w:b w:val="0"/>
                <w:color w:val="111111"/>
                <w:sz w:val="15"/>
              </w:rPr>
              <w:t>37. Als bei Einmaligkeit, wie beim Vergleich</w:t>
            </w:r>
          </w:p>
        </w:tc>
        <w:tc>
          <w:tcPr>
            <w:tcW w:type="dxa" w:w="3213"/>
            <w:tcMar>
              <w:left w:w="80" w:type="dxa"/>
              <w:right w:w="80" w:type="dxa"/>
            </w:tcMar>
          </w:tcPr>
          <w:p>
            <w:pPr>
              <w:spacing w:before="40" w:after="40" w:line="264" w:lineRule="auto"/>
            </w:pPr>
            <w:r>
              <w:rPr>
                <w:rFonts w:ascii="Arial" w:hAnsi="Arial"/>
                <w:b w:val="0"/>
                <w:color w:val="111111"/>
                <w:sz w:val="15"/>
              </w:rPr>
              <w:t>„Als“ steht bei einem einmaligen Ereignis in der Vergangenheit, „wie“ beim Vergleich von Gleichem.</w:t>
            </w:r>
          </w:p>
        </w:tc>
        <w:tc>
          <w:tcPr>
            <w:tcW w:type="dxa" w:w="3213"/>
            <w:tcMar>
              <w:left w:w="80" w:type="dxa"/>
              <w:right w:w="80" w:type="dxa"/>
            </w:tcMar>
          </w:tcPr>
          <w:p>
            <w:pPr>
              <w:spacing w:before="40" w:after="40" w:line="264" w:lineRule="auto"/>
            </w:pPr>
            <w:r>
              <w:rPr>
                <w:rFonts w:ascii="Arial" w:hAnsi="Arial"/>
                <w:b w:val="0"/>
                <w:color w:val="111111"/>
                <w:sz w:val="15"/>
              </w:rPr>
              <w:t>Als ich ankam, regnete es. Er ist so groß wie ich.</w:t>
            </w:r>
          </w:p>
        </w:tc>
      </w:tr>
      <w:tr>
        <w:tc>
          <w:tcPr>
            <w:tcW w:type="dxa" w:w="3213"/>
            <w:tcMar>
              <w:left w:w="80" w:type="dxa"/>
              <w:right w:w="80" w:type="dxa"/>
            </w:tcMar>
          </w:tcPr>
          <w:p>
            <w:pPr>
              <w:spacing w:before="40" w:after="40" w:line="264" w:lineRule="auto"/>
            </w:pPr>
            <w:r>
              <w:rPr>
                <w:rFonts w:ascii="Arial" w:hAnsi="Arial"/>
                <w:b w:val="0"/>
                <w:color w:val="111111"/>
                <w:sz w:val="15"/>
              </w:rPr>
              <w:t>38. Trotzdem statt trotzdem dass</w:t>
            </w:r>
          </w:p>
        </w:tc>
        <w:tc>
          <w:tcPr>
            <w:tcW w:type="dxa" w:w="3213"/>
            <w:tcMar>
              <w:left w:w="80" w:type="dxa"/>
              <w:right w:w="80" w:type="dxa"/>
            </w:tcMar>
          </w:tcPr>
          <w:p>
            <w:pPr>
              <w:spacing w:before="40" w:after="40" w:line="264" w:lineRule="auto"/>
            </w:pPr>
            <w:r>
              <w:rPr>
                <w:rFonts w:ascii="Arial" w:hAnsi="Arial"/>
                <w:b w:val="0"/>
                <w:color w:val="111111"/>
                <w:sz w:val="15"/>
              </w:rPr>
              <w:t>„Trotzdem“ ist bereits eine vollständige Konjunktion, ein zusätzliches „dass“ ist überflüssig.</w:t>
            </w:r>
          </w:p>
        </w:tc>
        <w:tc>
          <w:tcPr>
            <w:tcW w:type="dxa" w:w="3213"/>
            <w:tcMar>
              <w:left w:w="80" w:type="dxa"/>
              <w:right w:w="80" w:type="dxa"/>
            </w:tcMar>
          </w:tcPr>
          <w:p>
            <w:pPr>
              <w:spacing w:before="40" w:after="40" w:line="264" w:lineRule="auto"/>
            </w:pPr>
            <w:r>
              <w:rPr>
                <w:rFonts w:ascii="Arial" w:hAnsi="Arial"/>
                <w:b w:val="0"/>
                <w:color w:val="111111"/>
                <w:sz w:val="15"/>
              </w:rPr>
              <w:t>Trotzdem er müde war, blieb er wach (nicht „trotzdem dass“).</w:t>
            </w:r>
          </w:p>
        </w:tc>
      </w:tr>
      <w:tr>
        <w:tc>
          <w:tcPr>
            <w:tcW w:type="dxa" w:w="3213"/>
            <w:tcMar>
              <w:left w:w="80" w:type="dxa"/>
              <w:right w:w="80" w:type="dxa"/>
            </w:tcMar>
          </w:tcPr>
          <w:p>
            <w:pPr>
              <w:spacing w:before="40" w:after="40" w:line="264" w:lineRule="auto"/>
            </w:pPr>
            <w:r>
              <w:rPr>
                <w:rFonts w:ascii="Arial" w:hAnsi="Arial"/>
                <w:b w:val="0"/>
                <w:color w:val="111111"/>
                <w:sz w:val="15"/>
              </w:rPr>
              <w:t>39. Genauso wie, nicht genau so wie</w:t>
            </w:r>
          </w:p>
        </w:tc>
        <w:tc>
          <w:tcPr>
            <w:tcW w:type="dxa" w:w="3213"/>
            <w:tcMar>
              <w:left w:w="80" w:type="dxa"/>
              <w:right w:w="80" w:type="dxa"/>
            </w:tcMar>
          </w:tcPr>
          <w:p>
            <w:pPr>
              <w:spacing w:before="40" w:after="40" w:line="264" w:lineRule="auto"/>
            </w:pPr>
            <w:r>
              <w:rPr>
                <w:rFonts w:ascii="Arial" w:hAnsi="Arial"/>
                <w:b w:val="0"/>
                <w:color w:val="111111"/>
                <w:sz w:val="15"/>
              </w:rPr>
              <w:t>„Genauso“ als Steigerung von „so“ wird zusammengeschrieben, wenn es einen Vergleich verstärkt.</w:t>
            </w:r>
          </w:p>
        </w:tc>
        <w:tc>
          <w:tcPr>
            <w:tcW w:type="dxa" w:w="3213"/>
            <w:tcMar>
              <w:left w:w="80" w:type="dxa"/>
              <w:right w:w="80" w:type="dxa"/>
            </w:tcMar>
          </w:tcPr>
          <w:p>
            <w:pPr>
              <w:spacing w:before="40" w:after="40" w:line="264" w:lineRule="auto"/>
            </w:pPr>
            <w:r>
              <w:rPr>
                <w:rFonts w:ascii="Arial" w:hAnsi="Arial"/>
                <w:b w:val="0"/>
                <w:color w:val="111111"/>
                <w:sz w:val="15"/>
              </w:rPr>
              <w:t>Sie ist genauso groß wie ihr Bruder.</w:t>
            </w:r>
          </w:p>
        </w:tc>
      </w:tr>
      <w:tr>
        <w:tc>
          <w:tcPr>
            <w:tcW w:type="dxa" w:w="3213"/>
            <w:tcMar>
              <w:left w:w="80" w:type="dxa"/>
              <w:right w:w="80" w:type="dxa"/>
            </w:tcMar>
          </w:tcPr>
          <w:p>
            <w:pPr>
              <w:spacing w:before="40" w:after="40" w:line="264" w:lineRule="auto"/>
            </w:pPr>
            <w:r>
              <w:rPr>
                <w:rFonts w:ascii="Arial" w:hAnsi="Arial"/>
                <w:b w:val="0"/>
                <w:color w:val="111111"/>
                <w:sz w:val="15"/>
              </w:rPr>
              <w:t>40. Rat und Tat: der Rat, ohne t</w:t>
            </w:r>
          </w:p>
        </w:tc>
        <w:tc>
          <w:tcPr>
            <w:tcW w:type="dxa" w:w="3213"/>
            <w:tcMar>
              <w:left w:w="80" w:type="dxa"/>
              <w:right w:w="80" w:type="dxa"/>
            </w:tcMar>
          </w:tcPr>
          <w:p>
            <w:pPr>
              <w:spacing w:before="40" w:after="40" w:line="264" w:lineRule="auto"/>
            </w:pPr>
            <w:r>
              <w:rPr>
                <w:rFonts w:ascii="Arial" w:hAnsi="Arial"/>
                <w:b w:val="0"/>
                <w:color w:val="111111"/>
                <w:sz w:val="15"/>
              </w:rPr>
              <w:t>Substantiv „der Rat“ endet ohne t, verwechselt wird es gern mit „Tat“.</w:t>
            </w:r>
          </w:p>
        </w:tc>
        <w:tc>
          <w:tcPr>
            <w:tcW w:type="dxa" w:w="3213"/>
            <w:tcMar>
              <w:left w:w="80" w:type="dxa"/>
              <w:right w:w="80" w:type="dxa"/>
            </w:tcMar>
          </w:tcPr>
          <w:p>
            <w:pPr>
              <w:spacing w:before="40" w:after="40" w:line="264" w:lineRule="auto"/>
            </w:pPr>
            <w:r>
              <w:rPr>
                <w:rFonts w:ascii="Arial" w:hAnsi="Arial"/>
                <w:b w:val="0"/>
                <w:color w:val="111111"/>
                <w:sz w:val="15"/>
              </w:rPr>
              <w:t>Ich brauche deinen Rat, nicht deine Tat.</w:t>
            </w:r>
          </w:p>
        </w:tc>
      </w:tr>
      <w:tr>
        <w:tc>
          <w:tcPr>
            <w:tcW w:type="dxa" w:w="3213"/>
            <w:tcMar>
              <w:left w:w="80" w:type="dxa"/>
              <w:right w:w="80" w:type="dxa"/>
            </w:tcMar>
          </w:tcPr>
          <w:p>
            <w:pPr>
              <w:spacing w:before="40" w:after="40" w:line="264" w:lineRule="auto"/>
            </w:pPr>
            <w:r>
              <w:rPr>
                <w:rFonts w:ascii="Arial" w:hAnsi="Arial"/>
                <w:b w:val="0"/>
                <w:color w:val="111111"/>
                <w:sz w:val="15"/>
              </w:rPr>
              <w:t>41. Standpunkt und Standort: fest gegen Ort</w:t>
            </w:r>
          </w:p>
        </w:tc>
        <w:tc>
          <w:tcPr>
            <w:tcW w:type="dxa" w:w="3213"/>
            <w:tcMar>
              <w:left w:w="80" w:type="dxa"/>
              <w:right w:w="80" w:type="dxa"/>
            </w:tcMar>
          </w:tcPr>
          <w:p>
            <w:pPr>
              <w:spacing w:before="40" w:after="40" w:line="264" w:lineRule="auto"/>
            </w:pPr>
            <w:r>
              <w:rPr>
                <w:rFonts w:ascii="Arial" w:hAnsi="Arial"/>
                <w:b w:val="0"/>
                <w:color w:val="111111"/>
                <w:sz w:val="15"/>
              </w:rPr>
              <w:t>„Standpunkt“ meint eine Meinung, „Standort“ einen geografischen Platz.</w:t>
            </w:r>
          </w:p>
        </w:tc>
        <w:tc>
          <w:tcPr>
            <w:tcW w:type="dxa" w:w="3213"/>
            <w:tcMar>
              <w:left w:w="80" w:type="dxa"/>
              <w:right w:w="80" w:type="dxa"/>
            </w:tcMar>
          </w:tcPr>
          <w:p>
            <w:pPr>
              <w:spacing w:before="40" w:after="40" w:line="264" w:lineRule="auto"/>
            </w:pPr>
            <w:r>
              <w:rPr>
                <w:rFonts w:ascii="Arial" w:hAnsi="Arial"/>
                <w:b w:val="0"/>
                <w:color w:val="111111"/>
                <w:sz w:val="15"/>
              </w:rPr>
              <w:t>Mein Standpunkt dazu ist klar. Der Standort der Firma ist Berlin.</w:t>
            </w:r>
          </w:p>
        </w:tc>
      </w:tr>
      <w:tr>
        <w:tc>
          <w:tcPr>
            <w:tcW w:type="dxa" w:w="3213"/>
            <w:tcMar>
              <w:left w:w="80" w:type="dxa"/>
              <w:right w:w="80" w:type="dxa"/>
            </w:tcMar>
          </w:tcPr>
          <w:p>
            <w:pPr>
              <w:spacing w:before="40" w:after="40" w:line="264" w:lineRule="auto"/>
            </w:pPr>
            <w:r>
              <w:rPr>
                <w:rFonts w:ascii="Arial" w:hAnsi="Arial"/>
                <w:b w:val="0"/>
                <w:color w:val="111111"/>
                <w:sz w:val="15"/>
              </w:rPr>
              <w:t>42. Effektiv wirkt, effizient spart</w:t>
            </w:r>
          </w:p>
        </w:tc>
        <w:tc>
          <w:tcPr>
            <w:tcW w:type="dxa" w:w="3213"/>
            <w:tcMar>
              <w:left w:w="80" w:type="dxa"/>
              <w:right w:w="80" w:type="dxa"/>
            </w:tcMar>
          </w:tcPr>
          <w:p>
            <w:pPr>
              <w:spacing w:before="40" w:after="40" w:line="264" w:lineRule="auto"/>
            </w:pPr>
            <w:r>
              <w:rPr>
                <w:rFonts w:ascii="Arial" w:hAnsi="Arial"/>
                <w:b w:val="0"/>
                <w:color w:val="111111"/>
                <w:sz w:val="15"/>
              </w:rPr>
              <w:t>„Effektiv“ heißt wirksam, „effizient“ heißt mit möglichst wenig Aufwand.</w:t>
            </w:r>
          </w:p>
        </w:tc>
        <w:tc>
          <w:tcPr>
            <w:tcW w:type="dxa" w:w="3213"/>
            <w:tcMar>
              <w:left w:w="80" w:type="dxa"/>
              <w:right w:w="80" w:type="dxa"/>
            </w:tcMar>
          </w:tcPr>
          <w:p>
            <w:pPr>
              <w:spacing w:before="40" w:after="40" w:line="264" w:lineRule="auto"/>
            </w:pPr>
            <w:r>
              <w:rPr>
                <w:rFonts w:ascii="Arial" w:hAnsi="Arial"/>
                <w:b w:val="0"/>
                <w:color w:val="111111"/>
                <w:sz w:val="15"/>
              </w:rPr>
              <w:t>Die Maßnahme war effektiv. Der Prozess läuft effizient.</w:t>
            </w:r>
          </w:p>
        </w:tc>
      </w:tr>
      <w:tr>
        <w:tc>
          <w:tcPr>
            <w:tcW w:type="dxa" w:w="3213"/>
            <w:tcMar>
              <w:left w:w="80" w:type="dxa"/>
              <w:right w:w="80" w:type="dxa"/>
            </w:tcMar>
          </w:tcPr>
          <w:p>
            <w:pPr>
              <w:spacing w:before="40" w:after="40" w:line="264" w:lineRule="auto"/>
            </w:pPr>
            <w:r>
              <w:rPr>
                <w:rFonts w:ascii="Arial" w:hAnsi="Arial"/>
                <w:b w:val="0"/>
                <w:color w:val="111111"/>
                <w:sz w:val="15"/>
              </w:rPr>
              <w:t>43. Suggerieren heißt andeuten, nicht behaupten</w:t>
            </w:r>
          </w:p>
        </w:tc>
        <w:tc>
          <w:tcPr>
            <w:tcW w:type="dxa" w:w="3213"/>
            <w:tcMar>
              <w:left w:w="80" w:type="dxa"/>
              <w:right w:w="80" w:type="dxa"/>
            </w:tcMar>
          </w:tcPr>
          <w:p>
            <w:pPr>
              <w:spacing w:before="40" w:after="40" w:line="264" w:lineRule="auto"/>
            </w:pPr>
            <w:r>
              <w:rPr>
                <w:rFonts w:ascii="Arial" w:hAnsi="Arial"/>
                <w:b w:val="0"/>
                <w:color w:val="111111"/>
                <w:sz w:val="15"/>
              </w:rPr>
              <w:t>„Suggerieren“ bedeutet, eine Vorstellung nahezulegen, ohne sie direkt auszusprechen.</w:t>
            </w:r>
          </w:p>
        </w:tc>
        <w:tc>
          <w:tcPr>
            <w:tcW w:type="dxa" w:w="3213"/>
            <w:tcMar>
              <w:left w:w="80" w:type="dxa"/>
              <w:right w:w="80" w:type="dxa"/>
            </w:tcMar>
          </w:tcPr>
          <w:p>
            <w:pPr>
              <w:spacing w:before="40" w:after="40" w:line="264" w:lineRule="auto"/>
            </w:pPr>
            <w:r>
              <w:rPr>
                <w:rFonts w:ascii="Arial" w:hAnsi="Arial"/>
                <w:b w:val="0"/>
                <w:color w:val="111111"/>
                <w:sz w:val="15"/>
              </w:rPr>
              <w:t>Die Werbung suggeriert, das Produkt mache glücklich.</w:t>
            </w:r>
          </w:p>
        </w:tc>
      </w:tr>
      <w:tr>
        <w:tc>
          <w:tcPr>
            <w:tcW w:type="dxa" w:w="3213"/>
            <w:tcMar>
              <w:left w:w="80" w:type="dxa"/>
              <w:right w:w="80" w:type="dxa"/>
            </w:tcMar>
          </w:tcPr>
          <w:p>
            <w:pPr>
              <w:spacing w:before="40" w:after="40" w:line="264" w:lineRule="auto"/>
            </w:pPr>
            <w:r>
              <w:rPr>
                <w:rFonts w:ascii="Arial" w:hAnsi="Arial"/>
                <w:b w:val="0"/>
                <w:color w:val="111111"/>
                <w:sz w:val="15"/>
              </w:rPr>
              <w:t>44. Wortwörtlich meint genau so gesagt</w:t>
            </w:r>
          </w:p>
        </w:tc>
        <w:tc>
          <w:tcPr>
            <w:tcW w:type="dxa" w:w="3213"/>
            <w:tcMar>
              <w:left w:w="80" w:type="dxa"/>
              <w:right w:w="80" w:type="dxa"/>
            </w:tcMar>
          </w:tcPr>
          <w:p>
            <w:pPr>
              <w:spacing w:before="40" w:after="40" w:line="264" w:lineRule="auto"/>
            </w:pPr>
            <w:r>
              <w:rPr>
                <w:rFonts w:ascii="Arial" w:hAnsi="Arial"/>
                <w:b w:val="0"/>
                <w:color w:val="111111"/>
                <w:sz w:val="15"/>
              </w:rPr>
              <w:t>„Wortwörtlich“ betont, dass etwas exakt in diesen Worten gesagt wurde, nicht nur sinngemäß.</w:t>
            </w:r>
          </w:p>
        </w:tc>
        <w:tc>
          <w:tcPr>
            <w:tcW w:type="dxa" w:w="3213"/>
            <w:tcMar>
              <w:left w:w="80" w:type="dxa"/>
              <w:right w:w="80" w:type="dxa"/>
            </w:tcMar>
          </w:tcPr>
          <w:p>
            <w:pPr>
              <w:spacing w:before="40" w:after="40" w:line="264" w:lineRule="auto"/>
            </w:pPr>
            <w:r>
              <w:rPr>
                <w:rFonts w:ascii="Arial" w:hAnsi="Arial"/>
                <w:b w:val="0"/>
                <w:color w:val="111111"/>
                <w:sz w:val="15"/>
              </w:rPr>
              <w:t>Sie hat es wortwörtlich so gesagt.</w:t>
            </w:r>
          </w:p>
        </w:tc>
      </w:tr>
      <w:tr>
        <w:tc>
          <w:tcPr>
            <w:tcW w:type="dxa" w:w="3213"/>
            <w:tcMar>
              <w:left w:w="80" w:type="dxa"/>
              <w:right w:w="80" w:type="dxa"/>
            </w:tcMar>
          </w:tcPr>
          <w:p>
            <w:pPr>
              <w:spacing w:before="40" w:after="40" w:line="264" w:lineRule="auto"/>
            </w:pPr>
            <w:r>
              <w:rPr>
                <w:rFonts w:ascii="Arial" w:hAnsi="Arial"/>
                <w:b w:val="0"/>
                <w:color w:val="111111"/>
                <w:sz w:val="15"/>
              </w:rPr>
              <w:t>45. Berufung einlegen, nicht Einspruch verwechseln</w:t>
            </w:r>
          </w:p>
        </w:tc>
        <w:tc>
          <w:tcPr>
            <w:tcW w:type="dxa" w:w="3213"/>
            <w:tcMar>
              <w:left w:w="80" w:type="dxa"/>
              <w:right w:w="80" w:type="dxa"/>
            </w:tcMar>
          </w:tcPr>
          <w:p>
            <w:pPr>
              <w:spacing w:before="40" w:after="40" w:line="264" w:lineRule="auto"/>
            </w:pPr>
            <w:r>
              <w:rPr>
                <w:rFonts w:ascii="Arial" w:hAnsi="Arial"/>
                <w:b w:val="0"/>
                <w:color w:val="111111"/>
                <w:sz w:val="15"/>
              </w:rPr>
              <w:t>„Berufung“ und „Einspruch“ sind unterschiedliche Rechtsmittel und nicht austauschbar.</w:t>
            </w:r>
          </w:p>
        </w:tc>
        <w:tc>
          <w:tcPr>
            <w:tcW w:type="dxa" w:w="3213"/>
            <w:tcMar>
              <w:left w:w="80" w:type="dxa"/>
              <w:right w:w="80" w:type="dxa"/>
            </w:tcMar>
          </w:tcPr>
          <w:p>
            <w:pPr>
              <w:spacing w:before="40" w:after="40" w:line="264" w:lineRule="auto"/>
            </w:pPr>
            <w:r>
              <w:rPr>
                <w:rFonts w:ascii="Arial" w:hAnsi="Arial"/>
                <w:b w:val="0"/>
                <w:color w:val="111111"/>
                <w:sz w:val="15"/>
              </w:rPr>
              <w:t>Gegen das Urteil legte er Berufung ein.</w:t>
            </w:r>
          </w:p>
        </w:tc>
      </w:tr>
      <w:tr>
        <w:tc>
          <w:tcPr>
            <w:tcW w:type="dxa" w:w="3213"/>
            <w:tcMar>
              <w:left w:w="80" w:type="dxa"/>
              <w:right w:w="80" w:type="dxa"/>
            </w:tcMar>
          </w:tcPr>
          <w:p>
            <w:pPr>
              <w:spacing w:before="40" w:after="40" w:line="264" w:lineRule="auto"/>
            </w:pPr>
            <w:r>
              <w:rPr>
                <w:rFonts w:ascii="Arial" w:hAnsi="Arial"/>
                <w:b w:val="0"/>
                <w:color w:val="111111"/>
                <w:sz w:val="15"/>
              </w:rPr>
              <w:t>46. Gleichgültig heißt egal, nicht gleich gültig</w:t>
            </w:r>
          </w:p>
        </w:tc>
        <w:tc>
          <w:tcPr>
            <w:tcW w:type="dxa" w:w="3213"/>
            <w:tcMar>
              <w:left w:w="80" w:type="dxa"/>
              <w:right w:w="80" w:type="dxa"/>
            </w:tcMar>
          </w:tcPr>
          <w:p>
            <w:pPr>
              <w:spacing w:before="40" w:after="40" w:line="264" w:lineRule="auto"/>
            </w:pPr>
            <w:r>
              <w:rPr>
                <w:rFonts w:ascii="Arial" w:hAnsi="Arial"/>
                <w:b w:val="0"/>
                <w:color w:val="111111"/>
                <w:sz w:val="15"/>
              </w:rPr>
              <w:t>„Gleichgültig“ als ein Wort bedeutet desinteressiert, getrennt geschrieben ergäbe es einen anderen Sinn.</w:t>
            </w:r>
          </w:p>
        </w:tc>
        <w:tc>
          <w:tcPr>
            <w:tcW w:type="dxa" w:w="3213"/>
            <w:tcMar>
              <w:left w:w="80" w:type="dxa"/>
              <w:right w:w="80" w:type="dxa"/>
            </w:tcMar>
          </w:tcPr>
          <w:p>
            <w:pPr>
              <w:spacing w:before="40" w:after="40" w:line="264" w:lineRule="auto"/>
            </w:pPr>
            <w:r>
              <w:rPr>
                <w:rFonts w:ascii="Arial" w:hAnsi="Arial"/>
                <w:b w:val="0"/>
                <w:color w:val="111111"/>
                <w:sz w:val="15"/>
              </w:rPr>
              <w:t>Das Ergebnis war ihm gleichgültig.</w:t>
            </w:r>
          </w:p>
        </w:tc>
      </w:tr>
      <w:tr>
        <w:tc>
          <w:tcPr>
            <w:tcW w:type="dxa" w:w="3213"/>
            <w:tcMar>
              <w:left w:w="80" w:type="dxa"/>
              <w:right w:w="80" w:type="dxa"/>
            </w:tcMar>
          </w:tcPr>
          <w:p>
            <w:pPr>
              <w:spacing w:before="40" w:after="40" w:line="264" w:lineRule="auto"/>
            </w:pPr>
            <w:r>
              <w:rPr>
                <w:rFonts w:ascii="Arial" w:hAnsi="Arial"/>
                <w:b w:val="0"/>
                <w:color w:val="111111"/>
                <w:sz w:val="15"/>
              </w:rPr>
              <w:t>47. Rentabel schreibt man ohne e vor -bel</w:t>
            </w:r>
          </w:p>
        </w:tc>
        <w:tc>
          <w:tcPr>
            <w:tcW w:type="dxa" w:w="3213"/>
            <w:tcMar>
              <w:left w:w="80" w:type="dxa"/>
              <w:right w:w="80" w:type="dxa"/>
            </w:tcMar>
          </w:tcPr>
          <w:p>
            <w:pPr>
              <w:spacing w:before="40" w:after="40" w:line="264" w:lineRule="auto"/>
            </w:pPr>
            <w:r>
              <w:rPr>
                <w:rFonts w:ascii="Arial" w:hAnsi="Arial"/>
                <w:b w:val="0"/>
                <w:color w:val="111111"/>
                <w:sz w:val="15"/>
              </w:rPr>
              <w:t>Bei Adjektiven auf „-abel/-ibel“ fällt das e des Wortstamms in der gebeugten Form weg.</w:t>
            </w:r>
          </w:p>
        </w:tc>
        <w:tc>
          <w:tcPr>
            <w:tcW w:type="dxa" w:w="3213"/>
            <w:tcMar>
              <w:left w:w="80" w:type="dxa"/>
              <w:right w:w="80" w:type="dxa"/>
            </w:tcMar>
          </w:tcPr>
          <w:p>
            <w:pPr>
              <w:spacing w:before="40" w:after="40" w:line="264" w:lineRule="auto"/>
            </w:pPr>
            <w:r>
              <w:rPr>
                <w:rFonts w:ascii="Arial" w:hAnsi="Arial"/>
                <w:b w:val="0"/>
                <w:color w:val="111111"/>
                <w:sz w:val="15"/>
              </w:rPr>
              <w:t>eine rentable Investition, nicht „rentabele“.</w:t>
            </w:r>
          </w:p>
        </w:tc>
      </w:tr>
      <w:tr>
        <w:tc>
          <w:tcPr>
            <w:tcW w:type="dxa" w:w="3213"/>
            <w:tcMar>
              <w:left w:w="80" w:type="dxa"/>
              <w:right w:w="80" w:type="dxa"/>
            </w:tcMar>
          </w:tcPr>
          <w:p>
            <w:pPr>
              <w:spacing w:before="40" w:after="40" w:line="264" w:lineRule="auto"/>
            </w:pPr>
            <w:r>
              <w:rPr>
                <w:rFonts w:ascii="Arial" w:hAnsi="Arial"/>
                <w:b w:val="0"/>
                <w:color w:val="111111"/>
                <w:sz w:val="15"/>
              </w:rPr>
              <w:t>48. Diesjährig bezieht sich auf dieses Jahr</w:t>
            </w:r>
          </w:p>
        </w:tc>
        <w:tc>
          <w:tcPr>
            <w:tcW w:type="dxa" w:w="3213"/>
            <w:tcMar>
              <w:left w:w="80" w:type="dxa"/>
              <w:right w:w="80" w:type="dxa"/>
            </w:tcMar>
          </w:tcPr>
          <w:p>
            <w:pPr>
              <w:spacing w:before="40" w:after="40" w:line="264" w:lineRule="auto"/>
            </w:pPr>
            <w:r>
              <w:rPr>
                <w:rFonts w:ascii="Arial" w:hAnsi="Arial"/>
                <w:b w:val="0"/>
                <w:color w:val="111111"/>
                <w:sz w:val="15"/>
              </w:rPr>
              <w:t>„Diesjährig“ ist ein zusammengesetztes Adjektiv und wird in einem Wort geschrieben.</w:t>
            </w:r>
          </w:p>
        </w:tc>
        <w:tc>
          <w:tcPr>
            <w:tcW w:type="dxa" w:w="3213"/>
            <w:tcMar>
              <w:left w:w="80" w:type="dxa"/>
              <w:right w:w="80" w:type="dxa"/>
            </w:tcMar>
          </w:tcPr>
          <w:p>
            <w:pPr>
              <w:spacing w:before="40" w:after="40" w:line="264" w:lineRule="auto"/>
            </w:pPr>
            <w:r>
              <w:rPr>
                <w:rFonts w:ascii="Arial" w:hAnsi="Arial"/>
                <w:b w:val="0"/>
                <w:color w:val="111111"/>
                <w:sz w:val="15"/>
              </w:rPr>
              <w:t>der diesjährige Gewinner, nicht „dies jährige“.</w:t>
            </w:r>
          </w:p>
        </w:tc>
      </w:tr>
      <w:tr>
        <w:tc>
          <w:tcPr>
            <w:tcW w:type="dxa" w:w="3213"/>
            <w:tcMar>
              <w:left w:w="80" w:type="dxa"/>
              <w:right w:w="80" w:type="dxa"/>
            </w:tcMar>
          </w:tcPr>
          <w:p>
            <w:pPr>
              <w:spacing w:before="40" w:after="40" w:line="264" w:lineRule="auto"/>
            </w:pPr>
            <w:r>
              <w:rPr>
                <w:rFonts w:ascii="Arial" w:hAnsi="Arial"/>
                <w:b w:val="0"/>
                <w:color w:val="111111"/>
                <w:sz w:val="15"/>
              </w:rPr>
              <w:t>49. Zugrunde liegen, seit der Reform in einem Wort</w:t>
            </w:r>
          </w:p>
        </w:tc>
        <w:tc>
          <w:tcPr>
            <w:tcW w:type="dxa" w:w="3213"/>
            <w:tcMar>
              <w:left w:w="80" w:type="dxa"/>
              <w:right w:w="80" w:type="dxa"/>
            </w:tcMar>
          </w:tcPr>
          <w:p>
            <w:pPr>
              <w:spacing w:before="40" w:after="40" w:line="264" w:lineRule="auto"/>
            </w:pPr>
            <w:r>
              <w:rPr>
                <w:rFonts w:ascii="Arial" w:hAnsi="Arial"/>
                <w:b w:val="0"/>
                <w:color w:val="111111"/>
                <w:sz w:val="15"/>
              </w:rPr>
              <w:t>„Zugrunde“ wird mit den Verben „liegen, gehen, richten“ zusammengeschrieben.</w:t>
            </w:r>
          </w:p>
        </w:tc>
        <w:tc>
          <w:tcPr>
            <w:tcW w:type="dxa" w:w="3213"/>
            <w:tcMar>
              <w:left w:w="80" w:type="dxa"/>
              <w:right w:w="80" w:type="dxa"/>
            </w:tcMar>
          </w:tcPr>
          <w:p>
            <w:pPr>
              <w:spacing w:before="40" w:after="40" w:line="264" w:lineRule="auto"/>
            </w:pPr>
            <w:r>
              <w:rPr>
                <w:rFonts w:ascii="Arial" w:hAnsi="Arial"/>
                <w:b w:val="0"/>
                <w:color w:val="111111"/>
                <w:sz w:val="15"/>
              </w:rPr>
              <w:t>Diese Zahl liegt der Schätzung zugrunde.</w:t>
            </w:r>
          </w:p>
        </w:tc>
      </w:tr>
      <w:tr>
        <w:tc>
          <w:tcPr>
            <w:tcW w:type="dxa" w:w="3213"/>
            <w:tcMar>
              <w:left w:w="80" w:type="dxa"/>
              <w:right w:w="80" w:type="dxa"/>
            </w:tcMar>
          </w:tcPr>
          <w:p>
            <w:pPr>
              <w:spacing w:before="40" w:after="40" w:line="264" w:lineRule="auto"/>
            </w:pPr>
            <w:r>
              <w:rPr>
                <w:rFonts w:ascii="Arial" w:hAnsi="Arial"/>
                <w:b w:val="0"/>
                <w:color w:val="111111"/>
                <w:sz w:val="15"/>
              </w:rPr>
              <w:t>50. Voraussetzung mit zwei s, weil vor + aus</w:t>
            </w:r>
          </w:p>
        </w:tc>
        <w:tc>
          <w:tcPr>
            <w:tcW w:type="dxa" w:w="3213"/>
            <w:tcMar>
              <w:left w:w="80" w:type="dxa"/>
              <w:right w:w="80" w:type="dxa"/>
            </w:tcMar>
          </w:tcPr>
          <w:p>
            <w:pPr>
              <w:spacing w:before="40" w:after="40" w:line="264" w:lineRule="auto"/>
            </w:pPr>
            <w:r>
              <w:rPr>
                <w:rFonts w:ascii="Arial" w:hAnsi="Arial"/>
                <w:b w:val="0"/>
                <w:color w:val="111111"/>
                <w:sz w:val="15"/>
              </w:rPr>
              <w:t>Das Wort setzt sich aus „vor“ und „aussetzen“ zusammen, daher die Doppelung des s an der Nahtstelle.</w:t>
            </w:r>
          </w:p>
        </w:tc>
        <w:tc>
          <w:tcPr>
            <w:tcW w:type="dxa" w:w="3213"/>
            <w:tcMar>
              <w:left w:w="80" w:type="dxa"/>
              <w:right w:w="80" w:type="dxa"/>
            </w:tcMar>
          </w:tcPr>
          <w:p>
            <w:pPr>
              <w:spacing w:before="40" w:after="40" w:line="264" w:lineRule="auto"/>
            </w:pPr>
            <w:r>
              <w:rPr>
                <w:rFonts w:ascii="Arial" w:hAnsi="Arial"/>
                <w:b w:val="0"/>
                <w:color w:val="111111"/>
                <w:sz w:val="15"/>
              </w:rPr>
              <w:t>Das ist die wichtigste Voraussetzung für den Erfolg.</w:t>
            </w:r>
          </w:p>
        </w:tc>
      </w:tr>
    </w:tbl>
    <w:p>
      <w:pPr>
        <w:spacing w:before="0" w:after="120" w:line="276" w:lineRule="auto"/>
      </w:pP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737" w:right="1134" w:bottom="51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 Eselsbrücken für Rechtschreibung und Grammatik</dc:title>
  <dc:subject>Merkzettel zum Ausdrucken, drei Seiten</dc:subject>
  <dc:creator>korrektur.de</dc:creator>
  <cp:keywords>Eselsbrücken, Rechtschreibung, Grammatik, Merkregeln, Deutsch</cp:keywords>
  <dc:description>Kostenlose Vorlage von korrektur.de. Aktuelle Fassung: https://korrektur.de/eselsbruecken-erstellen</dc:description>
  <cp:lastModifiedBy>korrektur.de</cp:lastModifiedBy>
  <cp:revision>1</cp:revision>
  <dcterms:created xsi:type="dcterms:W3CDTF">2013-12-23T23:15:00Z</dcterms:created>
  <dcterms:modified xsi:type="dcterms:W3CDTF">2013-12-23T23:15:00Z</dcterms:modified>
  <cp:category>Vorlage</cp:category>
</cp:coreProperties>
</file>