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Pluralbildung auf einer Seite</w:t>
      </w:r>
    </w:p>
    <w:p>
      <w:pPr>
        <w:spacing w:before="0" w:after="160" w:line="276" w:lineRule="auto"/>
      </w:pPr>
      <w:r>
        <w:rPr>
          <w:rFonts w:ascii="Arial" w:hAnsi="Arial"/>
          <w:b w:val="0"/>
          <w:i w:val="0"/>
          <w:color w:val="111111"/>
          <w:sz w:val="22"/>
        </w:rPr>
        <w:t>Auf der nächsten Seite stehen die Pluralendungen mit ihren Regeln, die Fremdwortplurale, der Umlaut im Plural und die Wortarten, die keinen Plural bilden.</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Hausarbeiten, Deutsch als Fremdsprache: überall dort, wo die Pluralform eines Nomens unsicher ist.</w:t>
      </w:r>
    </w:p>
    <w:p>
      <w:pPr>
        <w:spacing w:before="0" w:after="80" w:line="276" w:lineRule="auto"/>
        <w:ind w:left="340" w:hanging="340"/>
      </w:pPr>
      <w:r>
        <w:rPr>
          <w:color w:val="00A85A"/>
        </w:rPr>
        <w:t xml:space="preserve">▪  </w:t>
      </w:r>
      <w:r>
        <w:rPr>
          <w:rFonts w:ascii="Arial" w:hAnsi="Arial"/>
          <w:sz w:val="22"/>
        </w:rPr>
        <w:t>Der letzte Korrekturgang: einmal gezielt ungewöhnliche Plurale und Fremdwörter nachschlagen.</w:t>
      </w:r>
    </w:p>
    <w:p>
      <w:pPr>
        <w:spacing w:before="0" w:after="80" w:line="276" w:lineRule="auto"/>
        <w:ind w:left="340" w:hanging="340"/>
      </w:pPr>
      <w:r>
        <w:rPr>
          <w:color w:val="00A85A"/>
        </w:rPr>
        <w:t xml:space="preserve">▪  </w:t>
      </w:r>
      <w:r>
        <w:rPr>
          <w:rFonts w:ascii="Arial" w:hAnsi="Arial"/>
          <w:sz w:val="22"/>
        </w:rPr>
        <w:t>Schülerinnen, Schüler und alle, die Deutsch als Fremdsprache lernen.</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Der Umlaut im Plural wird vergessen oder an der falschen Stelle gesetzt: „die Vater“ statt „die Väter“.</w:t>
      </w:r>
    </w:p>
    <w:p>
      <w:pPr>
        <w:spacing w:before="0" w:after="80" w:line="276" w:lineRule="auto"/>
        <w:ind w:left="340" w:hanging="340"/>
      </w:pPr>
      <w:r>
        <w:rPr>
          <w:color w:val="00A85A"/>
        </w:rPr>
        <w:t xml:space="preserve">▪  </w:t>
      </w:r>
      <w:r>
        <w:rPr>
          <w:rFonts w:ascii="Arial" w:hAnsi="Arial"/>
          <w:sz w:val="22"/>
        </w:rPr>
        <w:t>Fremdwörter bekommen einen deutschen Plural, wo der fremdsprachige Plural üblich ist, oder umgekehrt.</w:t>
      </w:r>
    </w:p>
    <w:p>
      <w:pPr>
        <w:spacing w:before="0" w:after="80" w:line="276" w:lineRule="auto"/>
        <w:ind w:left="340" w:hanging="340"/>
      </w:pPr>
      <w:r>
        <w:rPr>
          <w:color w:val="00A85A"/>
        </w:rPr>
        <w:t xml:space="preserve">▪  </w:t>
      </w:r>
      <w:r>
        <w:rPr>
          <w:rFonts w:ascii="Arial" w:hAnsi="Arial"/>
          <w:sz w:val="22"/>
        </w:rPr>
        <w:t>Stoffbezeichnungen und Abstrakta werden in den Plural gesetzt, obwohl sie im Deutschen meist nur im Singular stehen.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Eine falsche Pluralform fällt in jedem Satz auf, in dem sie steht. Wir lesen Zeichensetzung, Rechtschreibung, Grammatik und Ausdruck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GRAMMATIK</w:t>
      </w:r>
    </w:p>
    <w:p>
      <w:pPr>
        <w:spacing w:before="0" w:after="280" w:line="252" w:lineRule="auto"/>
      </w:pPr>
      <w:r>
        <w:rPr>
          <w:rFonts w:ascii="Arial" w:hAnsi="Arial"/>
          <w:b/>
          <w:i w:val="0"/>
          <w:color w:val="111111"/>
          <w:sz w:val="38"/>
        </w:rPr>
        <w:t>Pluralbildung auf einer Seite</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Die Pluralendung hängt am ehesten vom Genus und vom Auslaut des Nomens ab, nicht von einer einzelnen festen Regel. Im Zweifel hilft nur Nachschlagen.</w:t>
            </w:r>
          </w:p>
        </w:tc>
      </w:tr>
    </w:tbl>
    <w:p>
      <w:pPr>
        <w:spacing w:before="0" w:after="140" w:line="20" w:lineRule="exact"/>
      </w:pP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1606"/>
        <w:gridCol w:w="3213"/>
        <w:gridCol w:w="4819"/>
      </w:tblGrid>
      <w:tr>
        <w:tc>
          <w:tcPr>
            <w:tcW w:type="dxa" w:w="1606"/>
            <w:shd w:val="clear" w:color="auto" w:fill="F2F8F4"/>
            <w:tcMar>
              <w:left w:w="80" w:type="dxa"/>
              <w:right w:w="80" w:type="dxa"/>
            </w:tcMar>
          </w:tcPr>
          <w:p>
            <w:pPr>
              <w:spacing w:before="40" w:after="40" w:line="264" w:lineRule="auto"/>
            </w:pPr>
            <w:r>
              <w:rPr>
                <w:rFonts w:ascii="Arial" w:hAnsi="Arial"/>
                <w:b/>
                <w:color w:val="006B46"/>
                <w:sz w:val="17"/>
              </w:rPr>
              <w:t>Endung</w:t>
            </w:r>
          </w:p>
        </w:tc>
        <w:tc>
          <w:tcPr>
            <w:tcW w:type="dxa" w:w="3213"/>
            <w:shd w:val="clear" w:color="auto" w:fill="F2F8F4"/>
            <w:tcMar>
              <w:left w:w="80" w:type="dxa"/>
              <w:right w:w="80" w:type="dxa"/>
            </w:tcMar>
          </w:tcPr>
          <w:p>
            <w:pPr>
              <w:spacing w:before="40" w:after="40" w:line="264" w:lineRule="auto"/>
            </w:pPr>
            <w:r>
              <w:rPr>
                <w:rFonts w:ascii="Arial" w:hAnsi="Arial"/>
                <w:b/>
                <w:color w:val="006B46"/>
                <w:sz w:val="17"/>
              </w:rPr>
              <w:t>Typisch für</w:t>
            </w:r>
          </w:p>
        </w:tc>
        <w:tc>
          <w:tcPr>
            <w:tcW w:type="dxa" w:w="4819"/>
            <w:shd w:val="clear" w:color="auto" w:fill="F2F8F4"/>
            <w:tcMar>
              <w:left w:w="80" w:type="dxa"/>
              <w:right w:w="80" w:type="dxa"/>
            </w:tcMar>
          </w:tcPr>
          <w:p>
            <w:pPr>
              <w:spacing w:before="40" w:after="40" w:line="264" w:lineRule="auto"/>
            </w:pPr>
            <w:r>
              <w:rPr>
                <w:rFonts w:ascii="Arial" w:hAnsi="Arial"/>
                <w:b/>
                <w:color w:val="006B46"/>
                <w:sz w:val="17"/>
              </w:rPr>
              <w:t>Beispiele</w:t>
            </w:r>
          </w:p>
        </w:tc>
      </w:tr>
      <w:tr>
        <w:tc>
          <w:tcPr>
            <w:tcW w:type="dxa" w:w="1606"/>
            <w:tcMar>
              <w:left w:w="80" w:type="dxa"/>
              <w:right w:w="80" w:type="dxa"/>
            </w:tcMar>
          </w:tcPr>
          <w:p>
            <w:pPr>
              <w:spacing w:before="40" w:after="40" w:line="264" w:lineRule="auto"/>
            </w:pPr>
            <w:r>
              <w:rPr>
                <w:rFonts w:ascii="Arial" w:hAnsi="Arial"/>
                <w:b/>
                <w:color w:val="111111"/>
                <w:sz w:val="17"/>
              </w:rPr>
              <w:t>-e (mit/ohne Umlaut)</w:t>
            </w:r>
          </w:p>
        </w:tc>
        <w:tc>
          <w:tcPr>
            <w:tcW w:type="dxa" w:w="3213"/>
            <w:tcMar>
              <w:left w:w="80" w:type="dxa"/>
              <w:right w:w="80" w:type="dxa"/>
            </w:tcMar>
          </w:tcPr>
          <w:p>
            <w:pPr>
              <w:spacing w:before="40" w:after="40" w:line="264" w:lineRule="auto"/>
            </w:pPr>
            <w:r>
              <w:rPr>
                <w:rFonts w:ascii="Arial" w:hAnsi="Arial"/>
                <w:b w:val="0"/>
                <w:color w:val="111111"/>
                <w:sz w:val="17"/>
              </w:rPr>
              <w:t>viele maskuline und neutrale Nomen, dazu einige feminine wie Hand, Nacht, Wand</w:t>
            </w:r>
          </w:p>
        </w:tc>
        <w:tc>
          <w:tcPr>
            <w:tcW w:type="dxa" w:w="4819"/>
            <w:tcMar>
              <w:left w:w="80" w:type="dxa"/>
              <w:right w:w="80" w:type="dxa"/>
            </w:tcMar>
          </w:tcPr>
          <w:p>
            <w:pPr>
              <w:spacing w:before="40" w:after="40" w:line="264" w:lineRule="auto"/>
            </w:pPr>
            <w:r>
              <w:rPr>
                <w:rFonts w:ascii="Arial" w:hAnsi="Arial"/>
                <w:b w:val="0"/>
                <w:color w:val="111111"/>
                <w:sz w:val="17"/>
              </w:rPr>
              <w:t>der Tisch – die Tische, die Hand – die Hände</w:t>
            </w:r>
          </w:p>
        </w:tc>
      </w:tr>
      <w:tr>
        <w:tc>
          <w:tcPr>
            <w:tcW w:type="dxa" w:w="1606"/>
            <w:tcMar>
              <w:left w:w="80" w:type="dxa"/>
              <w:right w:w="80" w:type="dxa"/>
            </w:tcMar>
          </w:tcPr>
          <w:p>
            <w:pPr>
              <w:spacing w:before="40" w:after="40" w:line="264" w:lineRule="auto"/>
            </w:pPr>
            <w:r>
              <w:rPr>
                <w:rFonts w:ascii="Arial" w:hAnsi="Arial"/>
                <w:b/>
                <w:color w:val="111111"/>
                <w:sz w:val="17"/>
              </w:rPr>
              <w:t>-en, -n</w:t>
            </w:r>
          </w:p>
        </w:tc>
        <w:tc>
          <w:tcPr>
            <w:tcW w:type="dxa" w:w="3213"/>
            <w:tcMar>
              <w:left w:w="80" w:type="dxa"/>
              <w:right w:w="80" w:type="dxa"/>
            </w:tcMar>
          </w:tcPr>
          <w:p>
            <w:pPr>
              <w:spacing w:before="40" w:after="40" w:line="264" w:lineRule="auto"/>
            </w:pPr>
            <w:r>
              <w:rPr>
                <w:rFonts w:ascii="Arial" w:hAnsi="Arial"/>
                <w:b w:val="0"/>
                <w:color w:val="111111"/>
                <w:sz w:val="17"/>
              </w:rPr>
              <w:t>die meisten femininen Nomen</w:t>
            </w:r>
          </w:p>
        </w:tc>
        <w:tc>
          <w:tcPr>
            <w:tcW w:type="dxa" w:w="4819"/>
            <w:tcMar>
              <w:left w:w="80" w:type="dxa"/>
              <w:right w:w="80" w:type="dxa"/>
            </w:tcMar>
          </w:tcPr>
          <w:p>
            <w:pPr>
              <w:spacing w:before="40" w:after="40" w:line="264" w:lineRule="auto"/>
            </w:pPr>
            <w:r>
              <w:rPr>
                <w:rFonts w:ascii="Arial" w:hAnsi="Arial"/>
                <w:b w:val="0"/>
                <w:color w:val="111111"/>
                <w:sz w:val="17"/>
              </w:rPr>
              <w:t>die Frau – die Frauen, die Lampe – die Lampen</w:t>
            </w:r>
          </w:p>
        </w:tc>
      </w:tr>
      <w:tr>
        <w:tc>
          <w:tcPr>
            <w:tcW w:type="dxa" w:w="1606"/>
            <w:tcMar>
              <w:left w:w="80" w:type="dxa"/>
              <w:right w:w="80" w:type="dxa"/>
            </w:tcMar>
          </w:tcPr>
          <w:p>
            <w:pPr>
              <w:spacing w:before="40" w:after="40" w:line="264" w:lineRule="auto"/>
            </w:pPr>
            <w:r>
              <w:rPr>
                <w:rFonts w:ascii="Arial" w:hAnsi="Arial"/>
                <w:b/>
                <w:color w:val="111111"/>
                <w:sz w:val="17"/>
              </w:rPr>
              <w:t>-er (mit Umlaut, wo möglich)</w:t>
            </w:r>
          </w:p>
        </w:tc>
        <w:tc>
          <w:tcPr>
            <w:tcW w:type="dxa" w:w="3213"/>
            <w:tcMar>
              <w:left w:w="80" w:type="dxa"/>
              <w:right w:w="80" w:type="dxa"/>
            </w:tcMar>
          </w:tcPr>
          <w:p>
            <w:pPr>
              <w:spacing w:before="40" w:after="40" w:line="264" w:lineRule="auto"/>
            </w:pPr>
            <w:r>
              <w:rPr>
                <w:rFonts w:ascii="Arial" w:hAnsi="Arial"/>
                <w:b w:val="0"/>
                <w:color w:val="111111"/>
                <w:sz w:val="17"/>
              </w:rPr>
              <w:t>einsilbige neutrale und einige maskuline Nomen</w:t>
            </w:r>
          </w:p>
        </w:tc>
        <w:tc>
          <w:tcPr>
            <w:tcW w:type="dxa" w:w="4819"/>
            <w:tcMar>
              <w:left w:w="80" w:type="dxa"/>
              <w:right w:w="80" w:type="dxa"/>
            </w:tcMar>
          </w:tcPr>
          <w:p>
            <w:pPr>
              <w:spacing w:before="40" w:after="40" w:line="264" w:lineRule="auto"/>
            </w:pPr>
            <w:r>
              <w:rPr>
                <w:rFonts w:ascii="Arial" w:hAnsi="Arial"/>
                <w:b w:val="0"/>
                <w:color w:val="111111"/>
                <w:sz w:val="17"/>
              </w:rPr>
              <w:t>das Kind – die Kinder, der Mann – die Männer</w:t>
            </w:r>
          </w:p>
        </w:tc>
      </w:tr>
      <w:tr>
        <w:tc>
          <w:tcPr>
            <w:tcW w:type="dxa" w:w="1606"/>
            <w:tcMar>
              <w:left w:w="80" w:type="dxa"/>
              <w:right w:w="80" w:type="dxa"/>
            </w:tcMar>
          </w:tcPr>
          <w:p>
            <w:pPr>
              <w:spacing w:before="40" w:after="40" w:line="264" w:lineRule="auto"/>
            </w:pPr>
            <w:r>
              <w:rPr>
                <w:rFonts w:ascii="Arial" w:hAnsi="Arial"/>
                <w:b/>
                <w:color w:val="111111"/>
                <w:sz w:val="17"/>
              </w:rPr>
              <w:t>-s</w:t>
            </w:r>
          </w:p>
        </w:tc>
        <w:tc>
          <w:tcPr>
            <w:tcW w:type="dxa" w:w="3213"/>
            <w:tcMar>
              <w:left w:w="80" w:type="dxa"/>
              <w:right w:w="80" w:type="dxa"/>
            </w:tcMar>
          </w:tcPr>
          <w:p>
            <w:pPr>
              <w:spacing w:before="40" w:after="40" w:line="264" w:lineRule="auto"/>
            </w:pPr>
            <w:r>
              <w:rPr>
                <w:rFonts w:ascii="Arial" w:hAnsi="Arial"/>
                <w:b w:val="0"/>
                <w:color w:val="111111"/>
                <w:sz w:val="17"/>
              </w:rPr>
              <w:t>Fremdwörter, Abkürzungen, Wörter auf Vokal</w:t>
            </w:r>
          </w:p>
        </w:tc>
        <w:tc>
          <w:tcPr>
            <w:tcW w:type="dxa" w:w="4819"/>
            <w:tcMar>
              <w:left w:w="80" w:type="dxa"/>
              <w:right w:w="80" w:type="dxa"/>
            </w:tcMar>
          </w:tcPr>
          <w:p>
            <w:pPr>
              <w:spacing w:before="40" w:after="40" w:line="264" w:lineRule="auto"/>
            </w:pPr>
            <w:r>
              <w:rPr>
                <w:rFonts w:ascii="Arial" w:hAnsi="Arial"/>
                <w:b w:val="0"/>
                <w:color w:val="111111"/>
                <w:sz w:val="17"/>
              </w:rPr>
              <w:t>das Auto – die Autos, das Hotel – die Hotels</w:t>
            </w:r>
          </w:p>
        </w:tc>
      </w:tr>
      <w:tr>
        <w:tc>
          <w:tcPr>
            <w:tcW w:type="dxa" w:w="1606"/>
            <w:tcMar>
              <w:left w:w="80" w:type="dxa"/>
              <w:right w:w="80" w:type="dxa"/>
            </w:tcMar>
          </w:tcPr>
          <w:p>
            <w:pPr>
              <w:spacing w:before="40" w:after="40" w:line="264" w:lineRule="auto"/>
            </w:pPr>
            <w:r>
              <w:rPr>
                <w:rFonts w:ascii="Arial" w:hAnsi="Arial"/>
                <w:b/>
                <w:color w:val="111111"/>
                <w:sz w:val="17"/>
              </w:rPr>
              <w:t>ohne Endung (mit/ohne Umlaut)</w:t>
            </w:r>
          </w:p>
        </w:tc>
        <w:tc>
          <w:tcPr>
            <w:tcW w:type="dxa" w:w="3213"/>
            <w:tcMar>
              <w:left w:w="80" w:type="dxa"/>
              <w:right w:w="80" w:type="dxa"/>
            </w:tcMar>
          </w:tcPr>
          <w:p>
            <w:pPr>
              <w:spacing w:before="40" w:after="40" w:line="264" w:lineRule="auto"/>
            </w:pPr>
            <w:r>
              <w:rPr>
                <w:rFonts w:ascii="Arial" w:hAnsi="Arial"/>
                <w:b w:val="0"/>
                <w:color w:val="111111"/>
                <w:sz w:val="17"/>
              </w:rPr>
              <w:t>maskuline und neutrale Nomen auf -er, -el, -en</w:t>
            </w:r>
          </w:p>
        </w:tc>
        <w:tc>
          <w:tcPr>
            <w:tcW w:type="dxa" w:w="4819"/>
            <w:tcMar>
              <w:left w:w="80" w:type="dxa"/>
              <w:right w:w="80" w:type="dxa"/>
            </w:tcMar>
          </w:tcPr>
          <w:p>
            <w:pPr>
              <w:spacing w:before="40" w:after="40" w:line="264" w:lineRule="auto"/>
            </w:pPr>
            <w:r>
              <w:rPr>
                <w:rFonts w:ascii="Arial" w:hAnsi="Arial"/>
                <w:b w:val="0"/>
                <w:color w:val="111111"/>
                <w:sz w:val="17"/>
              </w:rPr>
              <w:t>der Lehrer – die Lehrer, der Garten – die Gärten</w:t>
            </w:r>
          </w:p>
        </w:tc>
      </w:tr>
    </w:tbl>
    <w:p>
      <w:pPr>
        <w:spacing w:before="0" w:after="120" w:line="276" w:lineRule="auto"/>
      </w:pPr>
    </w:p>
    <w:p>
      <w:pPr>
        <w:spacing w:before="280" w:after="120" w:line="276" w:lineRule="auto"/>
      </w:pPr>
      <w:r>
        <w:rPr>
          <w:rFonts w:ascii="Arial" w:hAnsi="Arial"/>
          <w:b/>
          <w:i w:val="0"/>
          <w:color w:val="111111"/>
          <w:sz w:val="24"/>
        </w:rPr>
        <w:t>Fremdwortplurale</w:t>
      </w:r>
    </w:p>
    <w:p>
      <w:pPr>
        <w:spacing w:before="0" w:after="120" w:line="276" w:lineRule="auto"/>
      </w:pPr>
      <w:r>
        <w:rPr>
          <w:rFonts w:ascii="Arial" w:hAnsi="Arial"/>
          <w:b w:val="0"/>
          <w:i w:val="0"/>
          <w:color w:val="111111"/>
          <w:sz w:val="22"/>
        </w:rPr>
        <w:t>Viele Fremdwörter bilden den Plural mit -s (das Café – die Cafés, der Chef – die Chefs). Einige lateinische und griechische Fachwörter behalten ihren fremdsprachigen Plural: das Praktikum – die Praktika, der Index – die Indizes, das Thema – die Themen, das Visum – die Visa. Im Alltag setzt sich bei vielen dieser Wörter zunehmend auch die deutsche Form durch, etwa „die Praktikas“, die im Standarddeutschen als falsch gilt. Häufig ist auch die fälschliche Form „die Praktikums“, eine falsch übernommene Genitivform.</w:t>
      </w:r>
    </w:p>
    <w:p>
      <w:pPr>
        <w:spacing w:before="280" w:after="120" w:line="276" w:lineRule="auto"/>
      </w:pPr>
      <w:r>
        <w:rPr>
          <w:rFonts w:ascii="Arial" w:hAnsi="Arial"/>
          <w:b/>
          <w:i w:val="0"/>
          <w:color w:val="111111"/>
          <w:sz w:val="24"/>
        </w:rPr>
        <w:t>Wortarten ohne Plural</w:t>
      </w:r>
    </w:p>
    <w:p>
      <w:pPr>
        <w:spacing w:before="0" w:after="60" w:line="276" w:lineRule="auto"/>
        <w:ind w:left="340" w:hanging="340"/>
      </w:pPr>
      <w:r>
        <w:rPr>
          <w:color w:val="00A85A"/>
        </w:rPr>
        <w:t xml:space="preserve">▪  </w:t>
      </w:r>
      <w:r>
        <w:rPr>
          <w:rFonts w:ascii="Arial" w:hAnsi="Arial"/>
          <w:sz w:val="22"/>
        </w:rPr>
        <w:t>Stoffbezeichnungen im Grundsinn: Milch, Wasser, Gold, Honig, außer als Sortenbezeichnung (Weine, Käsesorten).</w:t>
      </w:r>
    </w:p>
    <w:p>
      <w:pPr>
        <w:spacing w:before="0" w:after="60" w:line="276" w:lineRule="auto"/>
        <w:ind w:left="340" w:hanging="340"/>
      </w:pPr>
      <w:r>
        <w:rPr>
          <w:color w:val="00A85A"/>
        </w:rPr>
        <w:t xml:space="preserve">▪  </w:t>
      </w:r>
      <w:r>
        <w:rPr>
          <w:rFonts w:ascii="Arial" w:hAnsi="Arial"/>
          <w:sz w:val="22"/>
        </w:rPr>
        <w:t>Viele Abstrakta: Hunger, Durst, Geduld, Ruhe, Gesundheit, außer in fachsprachlichen Sonderbedeutungen.</w:t>
      </w:r>
    </w:p>
    <w:p>
      <w:pPr>
        <w:spacing w:before="0" w:after="60" w:line="276" w:lineRule="auto"/>
        <w:ind w:left="340" w:hanging="340"/>
      </w:pPr>
      <w:r>
        <w:rPr>
          <w:color w:val="00A85A"/>
        </w:rPr>
        <w:t xml:space="preserve">▪  </w:t>
      </w:r>
      <w:r>
        <w:rPr>
          <w:rFonts w:ascii="Arial" w:hAnsi="Arial"/>
          <w:sz w:val="22"/>
        </w:rPr>
        <w:t>Eigennamen ohne Zusatz bilden normalerweise keinen Plural: „Berlin“, nicht „die Berline“.</w:t>
      </w:r>
    </w:p>
    <w:p>
      <w:pPr>
        <w:spacing w:before="280" w:after="120" w:line="276" w:lineRule="auto"/>
      </w:pPr>
      <w:r>
        <w:rPr>
          <w:rFonts w:ascii="Arial" w:hAnsi="Arial"/>
          <w:b/>
          <w:i w:val="0"/>
          <w:color w:val="111111"/>
          <w:sz w:val="24"/>
        </w:rPr>
        <w:t>Typische Fehler</w:t>
      </w:r>
    </w:p>
    <w:p>
      <w:pPr>
        <w:spacing w:before="0" w:after="60" w:line="276" w:lineRule="auto"/>
        <w:ind w:left="340" w:hanging="340"/>
      </w:pPr>
      <w:r>
        <w:rPr>
          <w:color w:val="00A85A"/>
        </w:rPr>
        <w:t xml:space="preserve">▪  </w:t>
      </w:r>
      <w:r>
        <w:rPr>
          <w:rFonts w:ascii="Arial" w:hAnsi="Arial"/>
          <w:sz w:val="22"/>
        </w:rPr>
        <w:t>Der Umlaut fehlt im Plural: „die Vater“, „die Baume“ statt „die Väter“, „die Bäume“.</w:t>
      </w:r>
    </w:p>
    <w:p>
      <w:pPr>
        <w:spacing w:before="0" w:after="60" w:line="276" w:lineRule="auto"/>
        <w:ind w:left="340" w:hanging="340"/>
      </w:pPr>
      <w:r>
        <w:rPr>
          <w:color w:val="00A85A"/>
        </w:rPr>
        <w:t xml:space="preserve">▪  </w:t>
      </w:r>
      <w:r>
        <w:rPr>
          <w:rFonts w:ascii="Arial" w:hAnsi="Arial"/>
          <w:sz w:val="22"/>
        </w:rPr>
        <w:t>Ein Fremdwort wird eingedeutscht, wo der fremdsprachige Plural die anerkannte Form ist: „die Praktikums“ statt „die Praktika“.</w:t>
      </w:r>
    </w:p>
    <w:p>
      <w:pPr>
        <w:spacing w:before="0" w:after="60" w:line="276" w:lineRule="auto"/>
        <w:ind w:left="340" w:hanging="340"/>
      </w:pPr>
      <w:r>
        <w:rPr>
          <w:color w:val="00A85A"/>
        </w:rPr>
        <w:t xml:space="preserve">▪  </w:t>
      </w:r>
      <w:r>
        <w:rPr>
          <w:rFonts w:ascii="Arial" w:hAnsi="Arial"/>
          <w:sz w:val="22"/>
        </w:rPr>
        <w:t>Ein Stoffwort oder Abstraktum wird in den Plural gesetzt: „die Milche“ statt schlicht „Milch“.</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Pluralbildung: Merkzettel mit allen Endungen und Ausnahmen</dc:title>
  <dc:subject>Merkzettel zum Ausdrucken, eine Seite</dc:subject>
  <dc:creator>korrektur.de</dc:creator>
  <cp:keywords>Pluralbildung, Plural, Mehrzahl, Umlaut, Fremdwörter, Merkzettel, Deutsch</cp:keywords>
  <dc:description>Kostenlose Vorlage von korrektur.de. Aktuelle Fassung: https://korrektur.de/plural-bildung</dc:description>
  <cp:lastModifiedBy>korrektur.de</cp:lastModifiedBy>
  <cp:revision>1</cp:revision>
  <dcterms:created xsi:type="dcterms:W3CDTF">2013-12-23T23:15:00Z</dcterms:created>
  <dcterms:modified xsi:type="dcterms:W3CDTF">2013-12-23T23:15:00Z</dcterms:modified>
  <cp:category>Vorlage</cp:category>
</cp:coreProperties>
</file>