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Präpositionen mit festem Kasus auf einer Seite</w:t>
      </w:r>
    </w:p>
    <w:p>
      <w:pPr>
        <w:spacing w:before="0" w:after="160" w:line="276" w:lineRule="auto"/>
      </w:pPr>
      <w:r>
        <w:rPr>
          <w:rFonts w:ascii="Arial" w:hAnsi="Arial"/>
          <w:b w:val="0"/>
          <w:i w:val="0"/>
          <w:color w:val="111111"/>
          <w:sz w:val="22"/>
        </w:rPr>
        <w:t>Auf der nächsten Seite stehen die Präpositionen mit Dativ, mit Akkusativ, die Wechselpräpositionen und die Präpositionen mit Genitiv, mit Beispiel.</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Hausarbeiten, Bewerbungen, Deutsch als Fremdsprache: überall dort, wo der Kasus nach einer Präposition unsicher ist.</w:t>
      </w:r>
    </w:p>
    <w:p>
      <w:pPr>
        <w:spacing w:before="0" w:after="80" w:line="276" w:lineRule="auto"/>
        <w:ind w:left="340" w:hanging="340"/>
      </w:pPr>
      <w:r>
        <w:rPr>
          <w:color w:val="00A85A"/>
        </w:rPr>
        <w:t xml:space="preserve">▪  </w:t>
      </w:r>
      <w:r>
        <w:rPr>
          <w:rFonts w:ascii="Arial" w:hAnsi="Arial"/>
          <w:sz w:val="22"/>
        </w:rPr>
        <w:t>Der letzte Korrekturgang: einmal gezielt Wechselpräpositionen und Genitivpräpositionen prüfen.</w:t>
      </w:r>
    </w:p>
    <w:p>
      <w:pPr>
        <w:spacing w:before="0" w:after="80" w:line="276" w:lineRule="auto"/>
        <w:ind w:left="340" w:hanging="340"/>
      </w:pPr>
      <w:r>
        <w:rPr>
          <w:color w:val="00A85A"/>
        </w:rPr>
        <w:t xml:space="preserve">▪  </w:t>
      </w:r>
      <w:r>
        <w:rPr>
          <w:rFonts w:ascii="Arial" w:hAnsi="Arial"/>
          <w:sz w:val="22"/>
        </w:rPr>
        <w:t>Schülerinnen, Schüler und alle, die Deutsch als Fremdsprache lernen.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Dativ statt Genitiv nach wegen, trotz, während: „wegen dem Regen“ statt „wegen des Regens“.</w:t>
      </w:r>
    </w:p>
    <w:p>
      <w:pPr>
        <w:spacing w:before="0" w:after="80" w:line="276" w:lineRule="auto"/>
        <w:ind w:left="340" w:hanging="340"/>
      </w:pPr>
      <w:r>
        <w:rPr>
          <w:color w:val="00A85A"/>
        </w:rPr>
        <w:t xml:space="preserve">▪  </w:t>
      </w:r>
      <w:r>
        <w:rPr>
          <w:rFonts w:ascii="Arial" w:hAnsi="Arial"/>
          <w:sz w:val="22"/>
        </w:rPr>
        <w:t>Falscher Kasus nach Wechselpräpositionen, wenn wo und wohin verwechselt werden.</w:t>
      </w:r>
    </w:p>
    <w:p>
      <w:pPr>
        <w:spacing w:before="0" w:after="80" w:line="276" w:lineRule="auto"/>
        <w:ind w:left="340" w:hanging="340"/>
      </w:pPr>
      <w:r>
        <w:rPr>
          <w:color w:val="00A85A"/>
        </w:rPr>
        <w:t xml:space="preserve">▪  </w:t>
      </w:r>
      <w:r>
        <w:rPr>
          <w:rFonts w:ascii="Arial" w:hAnsi="Arial"/>
          <w:sz w:val="22"/>
        </w:rPr>
        <w:t>Nur-Dativ- und Nur-Akkusativ-Präpositionen werden vertauscht, vor allem bei entlang und gegenüber.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 falscher Kasus nach einer Präposition fällt sofort auf.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GRAMMATIK</w:t>
      </w:r>
    </w:p>
    <w:p>
      <w:pPr>
        <w:spacing w:before="0" w:after="280" w:line="252" w:lineRule="auto"/>
      </w:pPr>
      <w:r>
        <w:rPr>
          <w:rFonts w:ascii="Arial" w:hAnsi="Arial"/>
          <w:b/>
          <w:i w:val="0"/>
          <w:color w:val="111111"/>
          <w:sz w:val="38"/>
        </w:rPr>
        <w:t>Präpositionen mit Dativ, Akkusativ und Genitiv</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Manche Präpositionen verlangen immer denselben Kasus. Die Wechselpräpositionen richten sich nach der Frage: wo (Ort, Dativ) oder wohin (Richtung, Akkusativ).</w:t>
            </w:r>
          </w:p>
        </w:tc>
      </w:tr>
    </w:tbl>
    <w:p>
      <w:pPr>
        <w:spacing w:before="0" w:after="140" w:line="20" w:lineRule="exact"/>
      </w:pP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1807"/>
        <w:gridCol w:w="3614"/>
        <w:gridCol w:w="4217"/>
      </w:tblGrid>
      <w:tr>
        <w:tc>
          <w:tcPr>
            <w:tcW w:type="dxa" w:w="1807"/>
            <w:shd w:val="clear" w:color="auto" w:fill="F2F8F4"/>
            <w:tcMar>
              <w:left w:w="80" w:type="dxa"/>
              <w:right w:w="80" w:type="dxa"/>
            </w:tcMar>
          </w:tcPr>
          <w:p>
            <w:pPr>
              <w:spacing w:before="40" w:after="40" w:line="264" w:lineRule="auto"/>
            </w:pPr>
            <w:r>
              <w:rPr>
                <w:rFonts w:ascii="Arial" w:hAnsi="Arial"/>
                <w:b/>
                <w:color w:val="006B46"/>
                <w:sz w:val="17"/>
              </w:rPr>
              <w:t>Gruppe</w:t>
            </w:r>
          </w:p>
        </w:tc>
        <w:tc>
          <w:tcPr>
            <w:tcW w:type="dxa" w:w="3614"/>
            <w:shd w:val="clear" w:color="auto" w:fill="F2F8F4"/>
            <w:tcMar>
              <w:left w:w="80" w:type="dxa"/>
              <w:right w:w="80" w:type="dxa"/>
            </w:tcMar>
          </w:tcPr>
          <w:p>
            <w:pPr>
              <w:spacing w:before="40" w:after="40" w:line="264" w:lineRule="auto"/>
            </w:pPr>
            <w:r>
              <w:rPr>
                <w:rFonts w:ascii="Arial" w:hAnsi="Arial"/>
                <w:b/>
                <w:color w:val="006B46"/>
                <w:sz w:val="17"/>
              </w:rPr>
              <w:t>Präpositionen</w:t>
            </w:r>
          </w:p>
        </w:tc>
        <w:tc>
          <w:tcPr>
            <w:tcW w:type="dxa" w:w="4217"/>
            <w:shd w:val="clear" w:color="auto" w:fill="F2F8F4"/>
            <w:tcMar>
              <w:left w:w="80" w:type="dxa"/>
              <w:right w:w="80" w:type="dxa"/>
            </w:tcMar>
          </w:tcPr>
          <w:p>
            <w:pPr>
              <w:spacing w:before="40" w:after="40" w:line="264" w:lineRule="auto"/>
            </w:pPr>
            <w:r>
              <w:rPr>
                <w:rFonts w:ascii="Arial" w:hAnsi="Arial"/>
                <w:b/>
                <w:color w:val="006B46"/>
                <w:sz w:val="17"/>
              </w:rPr>
              <w:t>Beispiel</w:t>
            </w:r>
          </w:p>
        </w:tc>
      </w:tr>
      <w:tr>
        <w:tc>
          <w:tcPr>
            <w:tcW w:type="dxa" w:w="1807"/>
            <w:tcMar>
              <w:left w:w="80" w:type="dxa"/>
              <w:right w:w="80" w:type="dxa"/>
            </w:tcMar>
          </w:tcPr>
          <w:p>
            <w:pPr>
              <w:spacing w:before="40" w:after="40" w:line="264" w:lineRule="auto"/>
            </w:pPr>
            <w:r>
              <w:rPr>
                <w:rFonts w:ascii="Arial" w:hAnsi="Arial"/>
                <w:b/>
                <w:color w:val="111111"/>
                <w:sz w:val="17"/>
              </w:rPr>
              <w:t>Nur Dativ</w:t>
            </w:r>
          </w:p>
        </w:tc>
        <w:tc>
          <w:tcPr>
            <w:tcW w:type="dxa" w:w="3614"/>
            <w:tcMar>
              <w:left w:w="80" w:type="dxa"/>
              <w:right w:w="80" w:type="dxa"/>
            </w:tcMar>
          </w:tcPr>
          <w:p>
            <w:pPr>
              <w:spacing w:before="40" w:after="40" w:line="264" w:lineRule="auto"/>
            </w:pPr>
            <w:r>
              <w:rPr>
                <w:rFonts w:ascii="Arial" w:hAnsi="Arial"/>
                <w:b w:val="0"/>
                <w:color w:val="111111"/>
                <w:sz w:val="17"/>
              </w:rPr>
              <w:t>aus, bei, mit, nach, seit, von, zu, gegenüber</w:t>
            </w:r>
          </w:p>
        </w:tc>
        <w:tc>
          <w:tcPr>
            <w:tcW w:type="dxa" w:w="4217"/>
            <w:tcMar>
              <w:left w:w="80" w:type="dxa"/>
              <w:right w:w="80" w:type="dxa"/>
            </w:tcMar>
          </w:tcPr>
          <w:p>
            <w:pPr>
              <w:spacing w:before="40" w:after="40" w:line="264" w:lineRule="auto"/>
            </w:pPr>
            <w:r>
              <w:rPr>
                <w:rFonts w:ascii="Arial" w:hAnsi="Arial"/>
                <w:b w:val="0"/>
                <w:color w:val="111111"/>
                <w:sz w:val="17"/>
              </w:rPr>
              <w:t>Sie kommt aus der Schweiz. Er wohnt gegenüber dem Bahnhof.</w:t>
            </w:r>
          </w:p>
        </w:tc>
      </w:tr>
      <w:tr>
        <w:tc>
          <w:tcPr>
            <w:tcW w:type="dxa" w:w="1807"/>
            <w:tcMar>
              <w:left w:w="80" w:type="dxa"/>
              <w:right w:w="80" w:type="dxa"/>
            </w:tcMar>
          </w:tcPr>
          <w:p>
            <w:pPr>
              <w:spacing w:before="40" w:after="40" w:line="264" w:lineRule="auto"/>
            </w:pPr>
            <w:r>
              <w:rPr>
                <w:rFonts w:ascii="Arial" w:hAnsi="Arial"/>
                <w:b/>
                <w:color w:val="111111"/>
                <w:sz w:val="17"/>
              </w:rPr>
              <w:t>Nur Akkusativ</w:t>
            </w:r>
          </w:p>
        </w:tc>
        <w:tc>
          <w:tcPr>
            <w:tcW w:type="dxa" w:w="3614"/>
            <w:tcMar>
              <w:left w:w="80" w:type="dxa"/>
              <w:right w:w="80" w:type="dxa"/>
            </w:tcMar>
          </w:tcPr>
          <w:p>
            <w:pPr>
              <w:spacing w:before="40" w:after="40" w:line="264" w:lineRule="auto"/>
            </w:pPr>
            <w:r>
              <w:rPr>
                <w:rFonts w:ascii="Arial" w:hAnsi="Arial"/>
                <w:b w:val="0"/>
                <w:color w:val="111111"/>
                <w:sz w:val="17"/>
              </w:rPr>
              <w:t>durch, für, gegen, ohne, um, bis; entlang nachgestellt mit Akkusativ, vorangestellt mit Genitiv oder Dativ</w:t>
            </w:r>
          </w:p>
        </w:tc>
        <w:tc>
          <w:tcPr>
            <w:tcW w:type="dxa" w:w="4217"/>
            <w:tcMar>
              <w:left w:w="80" w:type="dxa"/>
              <w:right w:w="80" w:type="dxa"/>
            </w:tcMar>
          </w:tcPr>
          <w:p>
            <w:pPr>
              <w:spacing w:before="40" w:after="40" w:line="264" w:lineRule="auto"/>
            </w:pPr>
            <w:r>
              <w:rPr>
                <w:rFonts w:ascii="Arial" w:hAnsi="Arial"/>
                <w:b w:val="0"/>
                <w:color w:val="111111"/>
                <w:sz w:val="17"/>
              </w:rPr>
              <w:t>Wir laufen durch den Park. Er geht die Straße entlang, aber: entlang der Straße.</w:t>
            </w:r>
          </w:p>
        </w:tc>
      </w:tr>
      <w:tr>
        <w:tc>
          <w:tcPr>
            <w:tcW w:type="dxa" w:w="1807"/>
            <w:tcMar>
              <w:left w:w="80" w:type="dxa"/>
              <w:right w:w="80" w:type="dxa"/>
            </w:tcMar>
          </w:tcPr>
          <w:p>
            <w:pPr>
              <w:spacing w:before="40" w:after="40" w:line="264" w:lineRule="auto"/>
            </w:pPr>
            <w:r>
              <w:rPr>
                <w:rFonts w:ascii="Arial" w:hAnsi="Arial"/>
                <w:b/>
                <w:color w:val="111111"/>
                <w:sz w:val="17"/>
              </w:rPr>
              <w:t>Wechselpräpositionen (wo → Dativ, wohin → Akkusativ)</w:t>
            </w:r>
          </w:p>
        </w:tc>
        <w:tc>
          <w:tcPr>
            <w:tcW w:type="dxa" w:w="3614"/>
            <w:tcMar>
              <w:left w:w="80" w:type="dxa"/>
              <w:right w:w="80" w:type="dxa"/>
            </w:tcMar>
          </w:tcPr>
          <w:p>
            <w:pPr>
              <w:spacing w:before="40" w:after="40" w:line="264" w:lineRule="auto"/>
            </w:pPr>
            <w:r>
              <w:rPr>
                <w:rFonts w:ascii="Arial" w:hAnsi="Arial"/>
                <w:b w:val="0"/>
                <w:color w:val="111111"/>
                <w:sz w:val="17"/>
              </w:rPr>
              <w:t>an, auf, hinter, in, neben, über, unter, vor, zwischen</w:t>
            </w:r>
          </w:p>
        </w:tc>
        <w:tc>
          <w:tcPr>
            <w:tcW w:type="dxa" w:w="4217"/>
            <w:tcMar>
              <w:left w:w="80" w:type="dxa"/>
              <w:right w:w="80" w:type="dxa"/>
            </w:tcMar>
          </w:tcPr>
          <w:p>
            <w:pPr>
              <w:spacing w:before="40" w:after="40" w:line="264" w:lineRule="auto"/>
            </w:pPr>
            <w:r>
              <w:rPr>
                <w:rFonts w:ascii="Arial" w:hAnsi="Arial"/>
                <w:b w:val="0"/>
                <w:color w:val="111111"/>
                <w:sz w:val="17"/>
              </w:rPr>
              <w:t>Das Buch liegt auf dem Tisch (wo, Dativ). Sie legt das Buch auf den Tisch (wohin, Akkusativ).</w:t>
            </w:r>
          </w:p>
        </w:tc>
      </w:tr>
      <w:tr>
        <w:tc>
          <w:tcPr>
            <w:tcW w:type="dxa" w:w="1807"/>
            <w:tcMar>
              <w:left w:w="80" w:type="dxa"/>
              <w:right w:w="80" w:type="dxa"/>
            </w:tcMar>
          </w:tcPr>
          <w:p>
            <w:pPr>
              <w:spacing w:before="40" w:after="40" w:line="264" w:lineRule="auto"/>
            </w:pPr>
            <w:r>
              <w:rPr>
                <w:rFonts w:ascii="Arial" w:hAnsi="Arial"/>
                <w:b/>
                <w:color w:val="111111"/>
                <w:sz w:val="17"/>
              </w:rPr>
              <w:t>Genitiv</w:t>
            </w:r>
          </w:p>
        </w:tc>
        <w:tc>
          <w:tcPr>
            <w:tcW w:type="dxa" w:w="3614"/>
            <w:tcMar>
              <w:left w:w="80" w:type="dxa"/>
              <w:right w:w="80" w:type="dxa"/>
            </w:tcMar>
          </w:tcPr>
          <w:p>
            <w:pPr>
              <w:spacing w:before="40" w:after="40" w:line="264" w:lineRule="auto"/>
            </w:pPr>
            <w:r>
              <w:rPr>
                <w:rFonts w:ascii="Arial" w:hAnsi="Arial"/>
                <w:b w:val="0"/>
                <w:color w:val="111111"/>
                <w:sz w:val="17"/>
              </w:rPr>
              <w:t>während, wegen, trotz, statt, innerhalb, aufgrund, anhand, infolge</w:t>
            </w:r>
          </w:p>
        </w:tc>
        <w:tc>
          <w:tcPr>
            <w:tcW w:type="dxa" w:w="4217"/>
            <w:tcMar>
              <w:left w:w="80" w:type="dxa"/>
              <w:right w:w="80" w:type="dxa"/>
            </w:tcMar>
          </w:tcPr>
          <w:p>
            <w:pPr>
              <w:spacing w:before="40" w:after="40" w:line="264" w:lineRule="auto"/>
            </w:pPr>
            <w:r>
              <w:rPr>
                <w:rFonts w:ascii="Arial" w:hAnsi="Arial"/>
                <w:b w:val="0"/>
                <w:color w:val="111111"/>
                <w:sz w:val="17"/>
              </w:rPr>
              <w:t>Während des Vortrags blieb es still. Wegen des Regens fiel es aus.</w:t>
            </w:r>
          </w:p>
        </w:tc>
      </w:tr>
    </w:tbl>
    <w:p>
      <w:pPr>
        <w:spacing w:before="0" w:after="120" w:line="276" w:lineRule="auto"/>
      </w:pPr>
    </w:p>
    <w:p>
      <w:pPr>
        <w:spacing w:before="280" w:after="120" w:line="276" w:lineRule="auto"/>
      </w:pPr>
      <w:r>
        <w:rPr>
          <w:rFonts w:ascii="Arial" w:hAnsi="Arial"/>
          <w:b/>
          <w:i w:val="0"/>
          <w:color w:val="111111"/>
          <w:sz w:val="24"/>
        </w:rPr>
        <w:t>Wo im Alltag der Dativ üblich ist</w:t>
      </w:r>
    </w:p>
    <w:p>
      <w:pPr>
        <w:spacing w:before="0" w:after="120" w:line="276" w:lineRule="auto"/>
      </w:pPr>
      <w:r>
        <w:rPr>
          <w:rFonts w:ascii="Arial" w:hAnsi="Arial"/>
          <w:b w:val="0"/>
          <w:i w:val="0"/>
          <w:color w:val="111111"/>
          <w:sz w:val="22"/>
        </w:rPr>
        <w:t>Bei wegen, trotz, während und statt ist der Dativ in der gesprochenen Sprache weit verbreitet (wegen dem Regen), gilt aber in Hausarbeiten, Bewerbungen und anderen formellen Texten als Fehler. Dort bleibt der Genitiv Pflicht.</w:t>
      </w:r>
    </w:p>
    <w:p>
      <w:pPr>
        <w:spacing w:before="280" w:after="120" w:line="276" w:lineRule="auto"/>
      </w:pPr>
      <w:r>
        <w:rPr>
          <w:rFonts w:ascii="Arial" w:hAnsi="Arial"/>
          <w:b/>
          <w:i w:val="0"/>
          <w:color w:val="111111"/>
          <w:sz w:val="24"/>
        </w:rPr>
        <w:t>Schnellprobe für Wechselpräpositionen</w:t>
      </w:r>
    </w:p>
    <w:p>
      <w:pPr>
        <w:spacing w:before="0" w:after="120" w:line="276" w:lineRule="auto"/>
      </w:pPr>
      <w:r>
        <w:rPr>
          <w:rFonts w:ascii="Arial" w:hAnsi="Arial"/>
          <w:b w:val="0"/>
          <w:i w:val="0"/>
          <w:color w:val="111111"/>
          <w:sz w:val="22"/>
        </w:rPr>
        <w:t>Frag: Wo ist etwas? Antwort mit Dativ. Wohin bewegt sich etwas? Antwort mit Akkusativ. „Er steht in der Küche“ (wo, Dativ) gegen „Er geht in die Küche“ (wohin, Akkusativ).</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Präpositionen mit Dativ, Akkusativ und Genitiv: Merkzettel</dc:title>
  <dc:subject>Merkzettel zum Ausdrucken, eine Seite</dc:subject>
  <dc:creator>korrektur.de</dc:creator>
  <cp:keywords>Präpositionen, Dativ, Akkusativ, Genitiv, Wechselpräpositionen, Merkzettel, Deutsch</cp:keywords>
  <dc:description>Kostenlose Vorlage von korrektur.de. Aktuelle Fassung: https://korrektur.de/praepositionen-mit-dativ-akkusativ-genitiv</dc:description>
  <cp:lastModifiedBy>korrektur.de</cp:lastModifiedBy>
  <cp:revision>1</cp:revision>
  <dcterms:created xsi:type="dcterms:W3CDTF">2013-12-23T23:15:00Z</dcterms:created>
  <dcterms:modified xsi:type="dcterms:W3CDTF">2013-12-23T23:15:00Z</dcterms:modified>
  <cp:category>Vorlage</cp:category>
</cp:coreProperties>
</file>